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76" w:type="pct"/>
        <w:tblInd w:w="-56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336"/>
        <w:gridCol w:w="2730"/>
      </w:tblGrid>
      <w:tr w:rsidR="00AE7309" w:rsidRPr="00D81994" w14:paraId="742F1246" w14:textId="77777777" w:rsidTr="00182C93">
        <w:trPr>
          <w:trHeight w:val="20"/>
        </w:trPr>
        <w:tc>
          <w:tcPr>
            <w:tcW w:w="3644" w:type="pct"/>
            <w:vAlign w:val="bottom"/>
          </w:tcPr>
          <w:p w14:paraId="4055C924" w14:textId="77777777" w:rsidR="00AE7309" w:rsidRPr="0063053C" w:rsidRDefault="00840F67" w:rsidP="001D3C24">
            <w:pPr>
              <w:pStyle w:val="TitelTDS"/>
              <w:rPr>
                <w:lang w:val="en-US"/>
              </w:rPr>
            </w:pPr>
            <w:r w:rsidRPr="0063053C">
              <w:rPr>
                <w:lang w:val="en-US"/>
              </w:rPr>
              <w:t>Certificate of Analysis – Technical Data sheet</w:t>
            </w:r>
          </w:p>
        </w:tc>
        <w:tc>
          <w:tcPr>
            <w:tcW w:w="1356" w:type="pct"/>
            <w:vMerge w:val="restart"/>
            <w:vAlign w:val="bottom"/>
          </w:tcPr>
          <w:p w14:paraId="3612395A" w14:textId="77777777" w:rsidR="00AE7309" w:rsidRPr="0063053C" w:rsidRDefault="00AE7309" w:rsidP="004B3E99">
            <w:pPr>
              <w:rPr>
                <w:lang w:val="en-US"/>
              </w:rPr>
            </w:pPr>
          </w:p>
        </w:tc>
      </w:tr>
      <w:tr w:rsidR="00AE7309" w:rsidRPr="00D81994" w14:paraId="72DAAF86" w14:textId="77777777" w:rsidTr="00182C93">
        <w:trPr>
          <w:trHeight w:val="20"/>
        </w:trPr>
        <w:tc>
          <w:tcPr>
            <w:tcW w:w="3644" w:type="pct"/>
            <w:vAlign w:val="bottom"/>
          </w:tcPr>
          <w:p w14:paraId="4CDD0CCD" w14:textId="77777777" w:rsidR="00AE7309" w:rsidRPr="0063053C" w:rsidRDefault="00AE7309" w:rsidP="004B3E99">
            <w:pPr>
              <w:pStyle w:val="Koppenvet"/>
              <w:rPr>
                <w:lang w:val="en-US"/>
              </w:rPr>
            </w:pPr>
          </w:p>
        </w:tc>
        <w:tc>
          <w:tcPr>
            <w:tcW w:w="1356" w:type="pct"/>
            <w:vMerge/>
            <w:vAlign w:val="bottom"/>
          </w:tcPr>
          <w:p w14:paraId="5740FA99" w14:textId="77777777" w:rsidR="00AE7309" w:rsidRPr="0063053C" w:rsidRDefault="00AE7309" w:rsidP="004B3E99">
            <w:pPr>
              <w:rPr>
                <w:lang w:val="en-US"/>
              </w:rPr>
            </w:pPr>
          </w:p>
        </w:tc>
      </w:tr>
    </w:tbl>
    <w:p w14:paraId="4A8C8FC1" w14:textId="77777777" w:rsidR="00AE7309" w:rsidRPr="0063053C" w:rsidRDefault="00AE7309" w:rsidP="00AE7309">
      <w:pPr>
        <w:rPr>
          <w:lang w:val="en-US"/>
        </w:rPr>
      </w:pPr>
    </w:p>
    <w:tbl>
      <w:tblPr>
        <w:tblW w:w="5577" w:type="pct"/>
        <w:tblInd w:w="-567" w:type="dxa"/>
        <w:tblLook w:val="01E0" w:firstRow="1" w:lastRow="1" w:firstColumn="1" w:lastColumn="1" w:noHBand="0" w:noVBand="0"/>
      </w:tblPr>
      <w:tblGrid>
        <w:gridCol w:w="1560"/>
        <w:gridCol w:w="3878"/>
        <w:gridCol w:w="1704"/>
        <w:gridCol w:w="2926"/>
      </w:tblGrid>
      <w:tr w:rsidR="00840F67" w:rsidRPr="00066653" w14:paraId="6DA49B9D" w14:textId="77777777" w:rsidTr="00E11B41">
        <w:trPr>
          <w:trHeight w:val="15"/>
        </w:trPr>
        <w:tc>
          <w:tcPr>
            <w:tcW w:w="775" w:type="pct"/>
            <w:tcMar>
              <w:top w:w="170" w:type="dxa"/>
            </w:tcMar>
          </w:tcPr>
          <w:p w14:paraId="0D73C47F" w14:textId="77777777" w:rsidR="00840F67" w:rsidRPr="00182C93" w:rsidRDefault="00840F67" w:rsidP="00840F67">
            <w:pPr>
              <w:pStyle w:val="Koppenvet"/>
              <w:rPr>
                <w:sz w:val="20"/>
                <w:szCs w:val="20"/>
                <w:lang w:val="en-US"/>
              </w:rPr>
            </w:pPr>
            <w:r w:rsidRPr="00182C93">
              <w:rPr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4225" w:type="pct"/>
            <w:gridSpan w:val="3"/>
            <w:tcMar>
              <w:top w:w="170" w:type="dxa"/>
            </w:tcMar>
          </w:tcPr>
          <w:p w14:paraId="2D45E666" w14:textId="5C4C6DC8" w:rsidR="00840F67" w:rsidRPr="00182C93" w:rsidRDefault="002E6B7C" w:rsidP="00840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</w:t>
            </w:r>
            <w:r w:rsidR="00066653">
              <w:rPr>
                <w:sz w:val="20"/>
                <w:szCs w:val="20"/>
                <w:lang w:val="en-US"/>
              </w:rPr>
              <w:t>C, Human, mAb B7</w:t>
            </w:r>
          </w:p>
        </w:tc>
      </w:tr>
      <w:tr w:rsidR="00840F67" w:rsidRPr="00182C93" w14:paraId="04B35E3C" w14:textId="77777777" w:rsidTr="00E11B41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5EF2B797" w14:textId="77777777" w:rsidR="00840F67" w:rsidRPr="00182C93" w:rsidRDefault="00840F67" w:rsidP="00E33A47">
            <w:pPr>
              <w:pStyle w:val="Koppenvet"/>
              <w:ind w:right="-197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Catalog n</w:t>
            </w:r>
            <w:r w:rsidR="00E33A47" w:rsidRPr="00182C93">
              <w:rPr>
                <w:sz w:val="16"/>
                <w:szCs w:val="16"/>
                <w:lang w:val="en-US"/>
              </w:rPr>
              <w:t>umber</w:t>
            </w:r>
          </w:p>
        </w:tc>
        <w:tc>
          <w:tcPr>
            <w:tcW w:w="4225" w:type="pct"/>
            <w:gridSpan w:val="3"/>
            <w:tcMar>
              <w:top w:w="170" w:type="dxa"/>
            </w:tcMar>
          </w:tcPr>
          <w:p w14:paraId="207A08E1" w14:textId="601D9D20" w:rsidR="00840F67" w:rsidRPr="00182C93" w:rsidRDefault="00066653" w:rsidP="000C02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HM2443</w:t>
            </w:r>
            <w:r w:rsidR="00FA6315">
              <w:rPr>
                <w:sz w:val="16"/>
                <w:szCs w:val="16"/>
                <w:lang w:val="en-US"/>
              </w:rPr>
              <w:t>-100UG</w:t>
            </w:r>
          </w:p>
        </w:tc>
      </w:tr>
      <w:tr w:rsidR="00182C93" w:rsidRPr="00182C93" w14:paraId="0196CE2C" w14:textId="77777777" w:rsidTr="00E11B41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7032C3A4" w14:textId="77777777" w:rsidR="00840F67" w:rsidRPr="00182C93" w:rsidRDefault="00840F67" w:rsidP="007634DC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Lot number</w:t>
            </w:r>
          </w:p>
        </w:tc>
        <w:tc>
          <w:tcPr>
            <w:tcW w:w="1926" w:type="pct"/>
            <w:tcMar>
              <w:top w:w="170" w:type="dxa"/>
            </w:tcMar>
          </w:tcPr>
          <w:p w14:paraId="66884BFC" w14:textId="5BD720E8" w:rsidR="00840F67" w:rsidRPr="00182C93" w:rsidRDefault="00FA6315" w:rsidP="007634DC">
            <w:pPr>
              <w:rPr>
                <w:rStyle w:val="Tekenvet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Xxxxx-X"/>
                  </w:textInput>
                </w:ffData>
              </w:fldChar>
            </w:r>
            <w:r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noProof/>
                <w:sz w:val="16"/>
                <w:szCs w:val="16"/>
                <w:lang w:val="en-US"/>
              </w:rPr>
              <w:t>xxxxxXxxxx-X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46" w:type="pct"/>
            <w:tcMar>
              <w:top w:w="170" w:type="dxa"/>
            </w:tcMar>
          </w:tcPr>
          <w:p w14:paraId="15D7E17C" w14:textId="77777777" w:rsidR="00840F67" w:rsidRPr="00182C93" w:rsidRDefault="00840F67" w:rsidP="00840F67">
            <w:pPr>
              <w:tabs>
                <w:tab w:val="center" w:pos="2350"/>
              </w:tabs>
              <w:rPr>
                <w:sz w:val="16"/>
                <w:szCs w:val="16"/>
                <w:lang w:val="en-US"/>
              </w:rPr>
            </w:pPr>
            <w:r w:rsidRPr="00182C93">
              <w:rPr>
                <w:rStyle w:val="Tekenvet"/>
                <w:sz w:val="16"/>
                <w:szCs w:val="16"/>
              </w:rPr>
              <w:t>Expiry date</w:t>
            </w:r>
            <w:r w:rsidRPr="00182C93">
              <w:rPr>
                <w:rStyle w:val="Tekenvet"/>
                <w:sz w:val="16"/>
                <w:szCs w:val="16"/>
              </w:rPr>
              <w:tab/>
            </w:r>
          </w:p>
        </w:tc>
        <w:tc>
          <w:tcPr>
            <w:tcW w:w="1453" w:type="pct"/>
          </w:tcPr>
          <w:p w14:paraId="15F20AD8" w14:textId="77777777" w:rsidR="00840F67" w:rsidRPr="00182C93" w:rsidRDefault="000C028A" w:rsidP="00840F67">
            <w:pPr>
              <w:tabs>
                <w:tab w:val="center" w:pos="2350"/>
              </w:tabs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M YYYY"/>
                  </w:textInput>
                </w:ffData>
              </w:fldChar>
            </w:r>
            <w:r w:rsidRPr="00182C93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182C93">
              <w:rPr>
                <w:sz w:val="16"/>
                <w:szCs w:val="16"/>
                <w:lang w:val="en-US"/>
              </w:rPr>
            </w:r>
            <w:r w:rsidRPr="00182C93">
              <w:rPr>
                <w:sz w:val="16"/>
                <w:szCs w:val="16"/>
                <w:lang w:val="en-US"/>
              </w:rPr>
              <w:fldChar w:fldCharType="separate"/>
            </w:r>
            <w:r w:rsidRPr="00182C93">
              <w:rPr>
                <w:noProof/>
                <w:sz w:val="16"/>
                <w:szCs w:val="16"/>
                <w:lang w:val="en-US"/>
              </w:rPr>
              <w:t>MMM YYYY</w:t>
            </w:r>
            <w:r w:rsidRPr="00182C93">
              <w:rPr>
                <w:sz w:val="16"/>
                <w:szCs w:val="16"/>
                <w:lang w:val="en-US"/>
              </w:rPr>
              <w:fldChar w:fldCharType="end"/>
            </w:r>
          </w:p>
        </w:tc>
      </w:tr>
      <w:tr w:rsidR="00D21D06" w:rsidRPr="00182C93" w14:paraId="5D8A3B8D" w14:textId="77777777" w:rsidTr="00E11B41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11702F53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Volume</w:t>
            </w:r>
          </w:p>
        </w:tc>
        <w:tc>
          <w:tcPr>
            <w:tcW w:w="1926" w:type="pct"/>
            <w:tcMar>
              <w:top w:w="170" w:type="dxa"/>
            </w:tcMar>
          </w:tcPr>
          <w:p w14:paraId="17D4459E" w14:textId="199615D8" w:rsidR="00D21D06" w:rsidRPr="00182C93" w:rsidRDefault="00FA631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ml</w:t>
            </w:r>
          </w:p>
        </w:tc>
        <w:tc>
          <w:tcPr>
            <w:tcW w:w="846" w:type="pct"/>
            <w:tcMar>
              <w:top w:w="170" w:type="dxa"/>
            </w:tcMar>
          </w:tcPr>
          <w:p w14:paraId="457F81CC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Amount</w:t>
            </w:r>
          </w:p>
        </w:tc>
        <w:tc>
          <w:tcPr>
            <w:tcW w:w="1453" w:type="pct"/>
          </w:tcPr>
          <w:p w14:paraId="47A34491" w14:textId="10EE0813" w:rsidR="00D21D06" w:rsidRPr="00182C93" w:rsidRDefault="00FA631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100 </w:t>
            </w:r>
            <w:r w:rsidRPr="00182C93">
              <w:rPr>
                <w:sz w:val="16"/>
                <w:szCs w:val="16"/>
                <w:lang w:val="en-US"/>
              </w:rPr>
              <w:t>µ</w:t>
            </w:r>
            <w:r>
              <w:rPr>
                <w:sz w:val="16"/>
                <w:szCs w:val="16"/>
                <w:lang w:val="en-US"/>
              </w:rPr>
              <w:t>g</w:t>
            </w:r>
          </w:p>
        </w:tc>
      </w:tr>
      <w:tr w:rsidR="00D21D06" w:rsidRPr="00182C93" w14:paraId="643ED08B" w14:textId="77777777" w:rsidTr="00E11B41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1B1B7800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Formulation</w:t>
            </w:r>
          </w:p>
        </w:tc>
        <w:tc>
          <w:tcPr>
            <w:tcW w:w="1926" w:type="pct"/>
            <w:tcMar>
              <w:top w:w="170" w:type="dxa"/>
            </w:tcMar>
          </w:tcPr>
          <w:p w14:paraId="07D7616F" w14:textId="7BC915AF" w:rsidR="00D21D06" w:rsidRPr="00182C93" w:rsidRDefault="00D21D06" w:rsidP="00D21D06">
            <w:pPr>
              <w:jc w:val="lef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 xml:space="preserve">0.2 µm filtered </w:t>
            </w:r>
            <w:r>
              <w:rPr>
                <w:sz w:val="16"/>
                <w:szCs w:val="16"/>
                <w:lang w:val="en-US"/>
              </w:rPr>
              <w:t xml:space="preserve">in </w:t>
            </w:r>
            <w:r w:rsidR="00066653" w:rsidRPr="00066653">
              <w:rPr>
                <w:sz w:val="16"/>
                <w:szCs w:val="16"/>
                <w:lang w:val="en-US"/>
              </w:rPr>
              <w:t>PBS+0</w:t>
            </w:r>
            <w:r w:rsidR="00FA6315">
              <w:rPr>
                <w:sz w:val="16"/>
                <w:szCs w:val="16"/>
                <w:lang w:val="en-US"/>
              </w:rPr>
              <w:t>.1%BSA+0</w:t>
            </w:r>
            <w:r w:rsidR="00066653" w:rsidRPr="00066653">
              <w:rPr>
                <w:sz w:val="16"/>
                <w:szCs w:val="16"/>
                <w:lang w:val="en-US"/>
              </w:rPr>
              <w:t>.02%NaN3</w:t>
            </w:r>
          </w:p>
        </w:tc>
        <w:tc>
          <w:tcPr>
            <w:tcW w:w="846" w:type="pct"/>
            <w:tcMar>
              <w:top w:w="170" w:type="dxa"/>
            </w:tcMar>
          </w:tcPr>
          <w:p w14:paraId="6CC19319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Concentration</w:t>
            </w:r>
          </w:p>
        </w:tc>
        <w:tc>
          <w:tcPr>
            <w:tcW w:w="1453" w:type="pct"/>
          </w:tcPr>
          <w:p w14:paraId="593513A0" w14:textId="506003E7" w:rsidR="00D21D06" w:rsidRPr="00182C93" w:rsidRDefault="00FA631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100 </w:t>
            </w:r>
            <w:r w:rsidRPr="00182C93">
              <w:rPr>
                <w:sz w:val="16"/>
                <w:szCs w:val="16"/>
                <w:lang w:val="en-US"/>
              </w:rPr>
              <w:t>µ</w:t>
            </w:r>
            <w:r>
              <w:rPr>
                <w:sz w:val="16"/>
                <w:szCs w:val="16"/>
                <w:lang w:val="en-US"/>
              </w:rPr>
              <w:t>g/ml</w:t>
            </w:r>
          </w:p>
        </w:tc>
      </w:tr>
      <w:tr w:rsidR="00D21D06" w:rsidRPr="00182C93" w14:paraId="7AA9B4B9" w14:textId="77777777" w:rsidTr="00E11B41">
        <w:trPr>
          <w:trHeight w:val="30"/>
        </w:trPr>
        <w:tc>
          <w:tcPr>
            <w:tcW w:w="775" w:type="pct"/>
            <w:tcMar>
              <w:top w:w="170" w:type="dxa"/>
            </w:tcMar>
          </w:tcPr>
          <w:p w14:paraId="58D34228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Host Species</w:t>
            </w:r>
          </w:p>
        </w:tc>
        <w:tc>
          <w:tcPr>
            <w:tcW w:w="1926" w:type="pct"/>
            <w:tcMar>
              <w:top w:w="170" w:type="dxa"/>
            </w:tcMar>
          </w:tcPr>
          <w:p w14:paraId="3B9DD452" w14:textId="3BBBAF1A" w:rsidR="00D21D06" w:rsidRPr="00182C93" w:rsidRDefault="00066653" w:rsidP="00D21D06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Mouse IgG1k</w:t>
            </w:r>
          </w:p>
        </w:tc>
        <w:tc>
          <w:tcPr>
            <w:tcW w:w="846" w:type="pct"/>
            <w:tcMar>
              <w:top w:w="170" w:type="dxa"/>
            </w:tcMar>
          </w:tcPr>
          <w:p w14:paraId="30E714D3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Conjugate</w:t>
            </w:r>
          </w:p>
        </w:tc>
        <w:tc>
          <w:tcPr>
            <w:tcW w:w="1453" w:type="pct"/>
          </w:tcPr>
          <w:p w14:paraId="2C169D9F" w14:textId="69F27365" w:rsidR="00D21D06" w:rsidRPr="00182C93" w:rsidRDefault="00066653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None</w:t>
            </w:r>
          </w:p>
        </w:tc>
      </w:tr>
      <w:tr w:rsidR="00D21D06" w:rsidRPr="00182C93" w14:paraId="368EE11E" w14:textId="77777777" w:rsidTr="00E11B41">
        <w:trPr>
          <w:trHeight w:val="224"/>
        </w:trPr>
        <w:tc>
          <w:tcPr>
            <w:tcW w:w="775" w:type="pct"/>
            <w:tcMar>
              <w:top w:w="170" w:type="dxa"/>
            </w:tcMar>
          </w:tcPr>
          <w:p w14:paraId="5B8726D9" w14:textId="77777777" w:rsidR="00D21D06" w:rsidRPr="00182C93" w:rsidRDefault="00D21D06" w:rsidP="00F62B4C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 xml:space="preserve">Endotoxin </w:t>
            </w:r>
          </w:p>
        </w:tc>
        <w:tc>
          <w:tcPr>
            <w:tcW w:w="1926" w:type="pct"/>
            <w:tcMar>
              <w:top w:w="170" w:type="dxa"/>
            </w:tcMar>
          </w:tcPr>
          <w:p w14:paraId="6AEA4698" w14:textId="26D389FF" w:rsidR="00D21D06" w:rsidRPr="00182C93" w:rsidRDefault="009D61E3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N.A.</w:t>
            </w:r>
          </w:p>
        </w:tc>
        <w:tc>
          <w:tcPr>
            <w:tcW w:w="846" w:type="pct"/>
            <w:tcMar>
              <w:top w:w="170" w:type="dxa"/>
            </w:tcMar>
          </w:tcPr>
          <w:p w14:paraId="38A32769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Purification</w:t>
            </w:r>
          </w:p>
        </w:tc>
        <w:tc>
          <w:tcPr>
            <w:tcW w:w="1453" w:type="pct"/>
          </w:tcPr>
          <w:p w14:paraId="662BBA17" w14:textId="379FA105" w:rsidR="00D21D06" w:rsidRPr="00182C93" w:rsidRDefault="00D21D06" w:rsidP="00D21D06">
            <w:pPr>
              <w:jc w:val="left"/>
              <w:rPr>
                <w:sz w:val="16"/>
                <w:szCs w:val="16"/>
              </w:rPr>
            </w:pPr>
            <w:r w:rsidRPr="00182C93">
              <w:rPr>
                <w:sz w:val="16"/>
                <w:szCs w:val="16"/>
              </w:rPr>
              <w:t xml:space="preserve">Protein </w:t>
            </w:r>
            <w:r w:rsidR="00066653">
              <w:rPr>
                <w:sz w:val="16"/>
                <w:szCs w:val="16"/>
                <w:lang w:val="en-US"/>
              </w:rPr>
              <w:t>G</w:t>
            </w:r>
          </w:p>
        </w:tc>
      </w:tr>
      <w:tr w:rsidR="00D21D06" w:rsidRPr="00182C93" w14:paraId="0A5C92A6" w14:textId="77777777" w:rsidTr="00E11B41">
        <w:trPr>
          <w:trHeight w:val="224"/>
        </w:trPr>
        <w:tc>
          <w:tcPr>
            <w:tcW w:w="775" w:type="pct"/>
            <w:tcMar>
              <w:top w:w="170" w:type="dxa"/>
            </w:tcMar>
          </w:tcPr>
          <w:p w14:paraId="225F10CB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Storage</w:t>
            </w:r>
          </w:p>
        </w:tc>
        <w:tc>
          <w:tcPr>
            <w:tcW w:w="1926" w:type="pct"/>
            <w:tcMar>
              <w:top w:w="170" w:type="dxa"/>
            </w:tcMar>
          </w:tcPr>
          <w:p w14:paraId="34140DDE" w14:textId="2DB1EE7C" w:rsidR="00D21D06" w:rsidRPr="00182C93" w:rsidRDefault="00FA631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D21D06">
              <w:rPr>
                <w:sz w:val="16"/>
                <w:szCs w:val="16"/>
                <w:lang w:val="en-US"/>
              </w:rPr>
              <w:t>°C</w:t>
            </w:r>
          </w:p>
        </w:tc>
        <w:tc>
          <w:tcPr>
            <w:tcW w:w="846" w:type="pct"/>
            <w:tcMar>
              <w:top w:w="170" w:type="dxa"/>
            </w:tcMar>
          </w:tcPr>
          <w:p w14:paraId="0064DA7D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</w:p>
        </w:tc>
        <w:tc>
          <w:tcPr>
            <w:tcW w:w="1453" w:type="pct"/>
          </w:tcPr>
          <w:p w14:paraId="381EA2E9" w14:textId="77777777" w:rsidR="00D21D06" w:rsidRPr="00182C93" w:rsidRDefault="00D21D06" w:rsidP="00D21D06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C72AF8A" w14:textId="77777777" w:rsidR="00536BCC" w:rsidRDefault="00536BCC" w:rsidP="00536BCC">
      <w:pPr>
        <w:pBdr>
          <w:top w:val="single" w:sz="4" w:space="1" w:color="auto"/>
          <w:bottom w:val="single" w:sz="4" w:space="1" w:color="auto"/>
        </w:pBdr>
        <w:spacing w:before="120" w:after="120"/>
        <w:ind w:left="-567" w:right="-471"/>
        <w:jc w:val="center"/>
      </w:pPr>
      <w:r w:rsidRPr="00887268">
        <w:rPr>
          <w:b/>
          <w:sz w:val="20"/>
          <w:szCs w:val="20"/>
          <w:lang w:val="en-US"/>
        </w:rPr>
        <w:t>Application notes</w:t>
      </w:r>
    </w:p>
    <w:tbl>
      <w:tblPr>
        <w:tblW w:w="5577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399"/>
        <w:gridCol w:w="3270"/>
      </w:tblGrid>
      <w:tr w:rsidR="00D33010" w:rsidRPr="00182C93" w14:paraId="1F536429" w14:textId="77777777" w:rsidTr="00536BC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77"/>
              <w:gridCol w:w="723"/>
              <w:gridCol w:w="768"/>
              <w:gridCol w:w="732"/>
              <w:gridCol w:w="731"/>
              <w:gridCol w:w="731"/>
              <w:gridCol w:w="731"/>
              <w:gridCol w:w="731"/>
              <w:gridCol w:w="731"/>
            </w:tblGrid>
            <w:tr w:rsidR="00D33010" w:rsidRPr="00182C93" w14:paraId="2D75D673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76C514AD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14:paraId="01B71EFF" w14:textId="77777777" w:rsidR="00D33010" w:rsidRPr="00182C93" w:rsidRDefault="00D33010" w:rsidP="00D33010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IHC-</w:t>
                  </w:r>
                  <w:r w:rsidRPr="00182C93">
                    <w:rPr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768" w:type="dxa"/>
                  <w:vAlign w:val="center"/>
                </w:tcPr>
                <w:p w14:paraId="692CD0B6" w14:textId="77777777" w:rsidR="00D33010" w:rsidRPr="00182C93" w:rsidRDefault="0069274B" w:rsidP="0069274B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IHC-P </w:t>
                  </w:r>
                </w:p>
              </w:tc>
              <w:tc>
                <w:tcPr>
                  <w:tcW w:w="732" w:type="dxa"/>
                  <w:vAlign w:val="center"/>
                </w:tcPr>
                <w:p w14:paraId="774FB92C" w14:textId="77777777" w:rsidR="00D33010" w:rsidRPr="00182C93" w:rsidRDefault="0069274B" w:rsidP="00D33010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IF</w:t>
                  </w:r>
                </w:p>
              </w:tc>
              <w:tc>
                <w:tcPr>
                  <w:tcW w:w="731" w:type="dxa"/>
                  <w:vAlign w:val="center"/>
                </w:tcPr>
                <w:p w14:paraId="487FC2C5" w14:textId="77777777" w:rsidR="00D33010" w:rsidRPr="00182C93" w:rsidRDefault="00755C72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FC</w:t>
                  </w:r>
                </w:p>
              </w:tc>
              <w:tc>
                <w:tcPr>
                  <w:tcW w:w="731" w:type="dxa"/>
                  <w:vAlign w:val="center"/>
                </w:tcPr>
                <w:p w14:paraId="685FEE15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FS</w:t>
                  </w:r>
                </w:p>
              </w:tc>
              <w:tc>
                <w:tcPr>
                  <w:tcW w:w="731" w:type="dxa"/>
                  <w:vAlign w:val="center"/>
                </w:tcPr>
                <w:p w14:paraId="433D98C2" w14:textId="77777777" w:rsidR="00D33010" w:rsidRPr="00182C93" w:rsidRDefault="00755C72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IA</w:t>
                  </w:r>
                </w:p>
              </w:tc>
              <w:tc>
                <w:tcPr>
                  <w:tcW w:w="731" w:type="dxa"/>
                  <w:vAlign w:val="center"/>
                </w:tcPr>
                <w:p w14:paraId="2D1A315B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IP</w:t>
                  </w:r>
                </w:p>
              </w:tc>
              <w:tc>
                <w:tcPr>
                  <w:tcW w:w="731" w:type="dxa"/>
                  <w:vAlign w:val="center"/>
                </w:tcPr>
                <w:p w14:paraId="60E43298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W</w:t>
                  </w:r>
                </w:p>
              </w:tc>
            </w:tr>
            <w:tr w:rsidR="00D33010" w:rsidRPr="00182C93" w14:paraId="621A89CB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1CB0BC77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Reference #</w:t>
                  </w:r>
                </w:p>
              </w:tc>
              <w:tc>
                <w:tcPr>
                  <w:tcW w:w="723" w:type="dxa"/>
                  <w:vAlign w:val="center"/>
                </w:tcPr>
                <w:p w14:paraId="433AEE08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46CA89B7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6311FF08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4471AFAC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586D2430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E1222F2" w14:textId="112EEF0B" w:rsidR="00D33010" w:rsidRPr="00773802" w:rsidRDefault="00773802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  <w:t>1,2</w:t>
                  </w:r>
                </w:p>
              </w:tc>
              <w:tc>
                <w:tcPr>
                  <w:tcW w:w="731" w:type="dxa"/>
                  <w:vAlign w:val="center"/>
                </w:tcPr>
                <w:p w14:paraId="48D39221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7799CB56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D33010" w:rsidRPr="00182C93" w14:paraId="3A2C5786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2F250BC9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Yes</w:t>
                  </w:r>
                </w:p>
              </w:tc>
              <w:tc>
                <w:tcPr>
                  <w:tcW w:w="723" w:type="dxa"/>
                  <w:vAlign w:val="center"/>
                </w:tcPr>
                <w:p w14:paraId="3B41EC18" w14:textId="7DF62E32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68" w:type="dxa"/>
                  <w:vAlign w:val="center"/>
                </w:tcPr>
                <w:p w14:paraId="6B0B38E5" w14:textId="474687F0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2" w:type="dxa"/>
                  <w:vAlign w:val="center"/>
                </w:tcPr>
                <w:p w14:paraId="2892A3C7" w14:textId="78CDD4D0" w:rsidR="00D33010" w:rsidRPr="00182C93" w:rsidRDefault="00D81994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D81994"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1CA1C311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04C51861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1844F35E" w14:textId="351479D3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2839247B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33395987" w14:textId="52FA390C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</w:tr>
            <w:tr w:rsidR="00D33010" w:rsidRPr="00182C93" w14:paraId="3DEC3E47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52269475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No</w:t>
                  </w:r>
                </w:p>
              </w:tc>
              <w:tc>
                <w:tcPr>
                  <w:tcW w:w="723" w:type="dxa"/>
                  <w:vAlign w:val="center"/>
                </w:tcPr>
                <w:p w14:paraId="2D1A321C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61011B56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028290CE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5F9EB27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3FBF197A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214133CA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5D6C9762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29F883FD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D33010" w:rsidRPr="00182C93" w14:paraId="0E80A568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2B1DFA91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N.D.</w:t>
                  </w:r>
                </w:p>
              </w:tc>
              <w:tc>
                <w:tcPr>
                  <w:tcW w:w="723" w:type="dxa"/>
                  <w:vAlign w:val="center"/>
                </w:tcPr>
                <w:p w14:paraId="38225F2C" w14:textId="16F2DC32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19A9F44D" w14:textId="47529C64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280DF53B" w14:textId="780C65B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3A85A84F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3496AA4E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13103061" w14:textId="3879D606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F1CBBFF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3C651FC5" w14:textId="0E64FAE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8563C47" w14:textId="77777777" w:rsidR="00D33010" w:rsidRPr="00182C93" w:rsidRDefault="00D33010" w:rsidP="00431473">
            <w:pPr>
              <w:rPr>
                <w:rStyle w:val="Tekengrijs-Optie"/>
                <w:sz w:val="16"/>
                <w:szCs w:val="16"/>
                <w:lang w:val="en-US"/>
              </w:rPr>
            </w:pPr>
          </w:p>
        </w:tc>
      </w:tr>
      <w:tr w:rsidR="00D33010" w:rsidRPr="00D81994" w14:paraId="4AA78D6F" w14:textId="77777777" w:rsidTr="00536BCC">
        <w:trPr>
          <w:trHeight w:val="2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02D5443D" w14:textId="2570C576" w:rsidR="00D33010" w:rsidRPr="00182C93" w:rsidRDefault="00D33010" w:rsidP="00431473">
            <w:pPr>
              <w:pStyle w:val="Uitlegapplications"/>
              <w:rPr>
                <w:rStyle w:val="Tekencursief7pt"/>
                <w:szCs w:val="14"/>
                <w:lang w:val="en-US"/>
              </w:rPr>
            </w:pPr>
            <w:r w:rsidRPr="00182C93">
              <w:rPr>
                <w:rStyle w:val="Tekencursief7pt"/>
                <w:szCs w:val="14"/>
                <w:lang w:val="en-US"/>
              </w:rPr>
              <w:t>N.D.= Not Determined;</w:t>
            </w:r>
            <w:r>
              <w:rPr>
                <w:rStyle w:val="Tekencursief7pt"/>
                <w:szCs w:val="14"/>
                <w:lang w:val="en-US"/>
              </w:rPr>
              <w:t xml:space="preserve"> IHC = Immuno histochemistry; </w:t>
            </w:r>
            <w:r w:rsidRPr="00182C93">
              <w:rPr>
                <w:rStyle w:val="Tekencursief7pt"/>
                <w:szCs w:val="14"/>
                <w:lang w:val="en-US"/>
              </w:rPr>
              <w:t xml:space="preserve"> F = Frozen sections; </w:t>
            </w:r>
            <w:r w:rsidR="0069274B" w:rsidRPr="00182C93">
              <w:rPr>
                <w:rStyle w:val="Tekencursief7pt"/>
                <w:szCs w:val="14"/>
                <w:lang w:val="en-US"/>
              </w:rPr>
              <w:t>P = Paraffin sections</w:t>
            </w:r>
            <w:r w:rsidR="0069274B">
              <w:rPr>
                <w:rStyle w:val="Tekencursief7pt"/>
                <w:szCs w:val="14"/>
                <w:lang w:val="en-US"/>
              </w:rPr>
              <w:t>;</w:t>
            </w:r>
            <w:r w:rsidR="0069274B" w:rsidRPr="00182C93">
              <w:rPr>
                <w:rStyle w:val="Tekencursief7pt"/>
                <w:szCs w:val="14"/>
                <w:lang w:val="en-US"/>
              </w:rPr>
              <w:t xml:space="preserve"> IF = Immuno Fluorescence</w:t>
            </w:r>
            <w:r w:rsidR="0069274B">
              <w:rPr>
                <w:rStyle w:val="Tekencursief7pt"/>
                <w:szCs w:val="14"/>
                <w:lang w:val="en-US"/>
              </w:rPr>
              <w:t>;</w:t>
            </w:r>
            <w:r w:rsidR="0069274B" w:rsidRPr="00182C93">
              <w:rPr>
                <w:rStyle w:val="Tekencursief7pt"/>
                <w:szCs w:val="14"/>
                <w:lang w:val="en-US"/>
              </w:rPr>
              <w:t xml:space="preserve"> </w:t>
            </w:r>
            <w:r w:rsidRPr="00182C93">
              <w:rPr>
                <w:rStyle w:val="Tekencursief7pt"/>
                <w:szCs w:val="14"/>
                <w:lang w:val="en-US"/>
              </w:rPr>
              <w:t>FC = Flow Cytometry; FS = Functional Studies; IA = Immuno Assays; IP = Immuno Precipitation; W = Western blot</w:t>
            </w:r>
          </w:p>
        </w:tc>
      </w:tr>
      <w:tr w:rsidR="00B335B9" w:rsidRPr="00120EB8" w14:paraId="027ED639" w14:textId="77777777" w:rsidTr="00005E02">
        <w:trPr>
          <w:trHeight w:val="1745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18E9BACA" w14:textId="77777777" w:rsidR="00D33010" w:rsidRPr="00182C93" w:rsidRDefault="0030710B" w:rsidP="00D33010">
            <w:pPr>
              <w:rPr>
                <w:sz w:val="16"/>
                <w:szCs w:val="16"/>
                <w:lang w:val="en-US"/>
              </w:rPr>
            </w:pPr>
            <w:r w:rsidRPr="0030710B">
              <w:rPr>
                <w:noProof/>
                <w:sz w:val="16"/>
                <w:szCs w:val="16"/>
              </w:rPr>
              <w:drawing>
                <wp:inline distT="0" distB="0" distL="0" distR="0" wp14:anchorId="620D4B12" wp14:editId="01C43C9B">
                  <wp:extent cx="2021596" cy="1515600"/>
                  <wp:effectExtent l="0" t="0" r="0" b="889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" t="19936" r="13" b="7092"/>
                          <a:stretch/>
                        </pic:blipFill>
                        <pic:spPr bwMode="auto">
                          <a:xfrm>
                            <a:off x="0" y="0"/>
                            <a:ext cx="2021596" cy="15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9AF8B3B" w14:textId="1FD726EC" w:rsidR="00D33010" w:rsidRPr="00182C93" w:rsidRDefault="009B23CE" w:rsidP="0030710B">
            <w:pPr>
              <w:rPr>
                <w:sz w:val="16"/>
                <w:szCs w:val="16"/>
                <w:lang w:val="en-US"/>
              </w:rPr>
            </w:pPr>
            <w:r w:rsidRPr="0030710B">
              <w:rPr>
                <w:noProof/>
                <w:sz w:val="16"/>
                <w:szCs w:val="16"/>
              </w:rPr>
              <w:drawing>
                <wp:inline distT="0" distB="0" distL="0" distR="0" wp14:anchorId="1BFCFC5C" wp14:editId="4C295D4B">
                  <wp:extent cx="2021596" cy="1515600"/>
                  <wp:effectExtent l="0" t="0" r="0" b="8890"/>
                  <wp:docPr id="41000296" name="Afbeelding 4100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0296" name="Afbeelding 4100029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" t="20395" r="13" b="6633"/>
                          <a:stretch/>
                        </pic:blipFill>
                        <pic:spPr bwMode="auto">
                          <a:xfrm>
                            <a:off x="0" y="0"/>
                            <a:ext cx="2021596" cy="15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A7E1880" w14:textId="1232C15B" w:rsidR="00EE6F81" w:rsidRPr="00182C93" w:rsidRDefault="00D81994" w:rsidP="00D33010">
            <w:pPr>
              <w:rPr>
                <w:sz w:val="16"/>
                <w:szCs w:val="16"/>
                <w:lang w:val="en-US"/>
              </w:rPr>
            </w:pPr>
            <w:r w:rsidRPr="007C498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306ED0" wp14:editId="54B62B9A">
                  <wp:simplePos x="0" y="0"/>
                  <wp:positionH relativeFrom="column">
                    <wp:posOffset>180645</wp:posOffset>
                  </wp:positionH>
                  <wp:positionV relativeFrom="paragraph">
                    <wp:posOffset>203</wp:posOffset>
                  </wp:positionV>
                  <wp:extent cx="1514856" cy="1514856"/>
                  <wp:effectExtent l="0" t="0" r="9525" b="9525"/>
                  <wp:wrapTight wrapText="bothSides">
                    <wp:wrapPolygon edited="0">
                      <wp:start x="0" y="0"/>
                      <wp:lineTo x="0" y="21464"/>
                      <wp:lineTo x="21464" y="21464"/>
                      <wp:lineTo x="21464" y="0"/>
                      <wp:lineTo x="0" y="0"/>
                    </wp:wrapPolygon>
                  </wp:wrapTight>
                  <wp:docPr id="9" name="Immagin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5F50B6-433F-455C-8CFB-687434AE0E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 8">
                            <a:extLst>
                              <a:ext uri="{FF2B5EF4-FFF2-40B4-BE49-F238E27FC236}">
                                <a16:creationId xmlns:a16="http://schemas.microsoft.com/office/drawing/2014/main" id="{405F50B6-433F-455C-8CFB-687434AE0E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5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56" cy="1514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35B9" w:rsidRPr="00D81994" w14:paraId="1A7A76C5" w14:textId="77777777" w:rsidTr="00536BCC">
        <w:trPr>
          <w:trHeight w:val="10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56ECF583" w14:textId="4EC6ADCD" w:rsidR="00D33010" w:rsidRPr="00D33010" w:rsidRDefault="0035156B" w:rsidP="00D33010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IHC</w:t>
            </w:r>
            <w:r w:rsidR="00737E18">
              <w:rPr>
                <w:sz w:val="14"/>
                <w:szCs w:val="14"/>
                <w:lang w:val="en-US"/>
              </w:rPr>
              <w:t>-P</w:t>
            </w:r>
            <w:r>
              <w:rPr>
                <w:sz w:val="14"/>
                <w:szCs w:val="14"/>
                <w:lang w:val="en-US"/>
              </w:rPr>
              <w:t>: MAC staining using B7 antibody on plaques in FFPE Alzheimer’s brain tissue (Braak stage VI). Image kindly provided by Paul Morgan</w:t>
            </w:r>
            <w:r w:rsidR="00B335B9">
              <w:rPr>
                <w:sz w:val="14"/>
                <w:szCs w:val="14"/>
                <w:lang w:val="en-US"/>
              </w:rPr>
              <w:t>’</w:t>
            </w:r>
            <w:r>
              <w:rPr>
                <w:sz w:val="14"/>
                <w:szCs w:val="14"/>
                <w:lang w:val="en-US"/>
              </w:rPr>
              <w:t>s lab</w:t>
            </w:r>
            <w:r w:rsidR="00B335B9">
              <w:rPr>
                <w:sz w:val="14"/>
                <w:szCs w:val="14"/>
                <w:lang w:val="en-US"/>
              </w:rPr>
              <w:t>, Dementia Research Institute, Cardiff University.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B939442" w14:textId="517B9D69" w:rsidR="00D33010" w:rsidRPr="00182C93" w:rsidRDefault="009B23CE" w:rsidP="00D33010">
            <w:pPr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IHC-P: MAC staining using B7 antibody on neurons in FFPE Alzheimer’s brain tissue (Braak stage VI). Image kindly provided by Paul Morgan’s lab, Dementia Research Institute, Cardiff University.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7AB8783" w14:textId="423B334C" w:rsidR="00C75B7B" w:rsidRPr="00C75B7B" w:rsidRDefault="00D81994" w:rsidP="00C75B7B">
            <w:pPr>
              <w:rPr>
                <w:sz w:val="16"/>
                <w:szCs w:val="16"/>
                <w:lang w:val="en-US"/>
              </w:rPr>
            </w:pPr>
            <w:r w:rsidRPr="00C75B7B">
              <w:rPr>
                <w:sz w:val="14"/>
                <w:szCs w:val="14"/>
                <w:lang w:val="en-US"/>
              </w:rPr>
              <w:t xml:space="preserve">IF: </w:t>
            </w:r>
            <w:r w:rsidR="004D6405" w:rsidRPr="00C75B7B">
              <w:rPr>
                <w:sz w:val="14"/>
                <w:szCs w:val="14"/>
                <w:lang w:val="en-US"/>
              </w:rPr>
              <w:t xml:space="preserve">Staining in Duboscq-Brazil fixed, paraffin embedded human kidney sections. </w:t>
            </w:r>
            <w:r w:rsidR="00C75B7B">
              <w:rPr>
                <w:sz w:val="14"/>
                <w:szCs w:val="14"/>
                <w:lang w:val="en-US"/>
              </w:rPr>
              <w:t>B7 antibody</w:t>
            </w:r>
            <w:r w:rsidR="004D6405" w:rsidRPr="00C75B7B">
              <w:rPr>
                <w:sz w:val="14"/>
                <w:szCs w:val="14"/>
                <w:lang w:val="en-US"/>
              </w:rPr>
              <w:t xml:space="preserve">  </w:t>
            </w:r>
            <w:r w:rsidR="00C75B7B" w:rsidRPr="00C75B7B">
              <w:rPr>
                <w:sz w:val="14"/>
                <w:szCs w:val="14"/>
                <w:lang w:val="en-US"/>
              </w:rPr>
              <w:t>is visualized in red using a Cy3-labeled secondary antibody. In addition, wheat germ agglutinin (WGA) is stained with FITC and appears in green, while cell nuclei are stained with DAPI and shown in blue.</w:t>
            </w:r>
          </w:p>
        </w:tc>
      </w:tr>
      <w:tr w:rsidR="00D33010" w:rsidRPr="00D81994" w14:paraId="041A2F03" w14:textId="77777777" w:rsidTr="00536BCC">
        <w:trPr>
          <w:trHeight w:val="22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672B36A9" w14:textId="77777777" w:rsidR="00D33010" w:rsidRPr="00127269" w:rsidRDefault="00D33010" w:rsidP="00D33010">
            <w:pPr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>Dilutions to be used depend on detection system applied. It is recommended that users test the reagent and determine their own optimal dilutions. The typical starting working dilution is 1:50.</w:t>
            </w:r>
          </w:p>
          <w:p w14:paraId="56F4515F" w14:textId="6B498019" w:rsidR="00D33010" w:rsidRPr="00127269" w:rsidRDefault="00D33010" w:rsidP="0030710B">
            <w:pPr>
              <w:pStyle w:val="Lijstalinea"/>
              <w:numPr>
                <w:ilvl w:val="0"/>
                <w:numId w:val="5"/>
              </w:numPr>
              <w:ind w:left="454" w:hanging="425"/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 xml:space="preserve">W: </w:t>
            </w:r>
            <w:r w:rsidRPr="00FD7D8D">
              <w:rPr>
                <w:sz w:val="16"/>
                <w:szCs w:val="16"/>
                <w:lang w:val="en-US"/>
              </w:rPr>
              <w:t>A non-reduced or reduced sample treatment and SDS-Page was used</w:t>
            </w:r>
            <w:r w:rsidR="00FD7D8D" w:rsidRPr="00FD7D8D">
              <w:rPr>
                <w:sz w:val="16"/>
                <w:szCs w:val="16"/>
                <w:lang w:val="en-US"/>
              </w:rPr>
              <w:t xml:space="preserve"> to visualize </w:t>
            </w:r>
            <w:r w:rsidR="00FD7D8D">
              <w:rPr>
                <w:sz w:val="16"/>
                <w:szCs w:val="16"/>
                <w:lang w:val="en-US"/>
              </w:rPr>
              <w:t>C9</w:t>
            </w:r>
            <w:r w:rsidRPr="00FD7D8D">
              <w:rPr>
                <w:sz w:val="16"/>
                <w:szCs w:val="16"/>
                <w:lang w:val="en-US"/>
              </w:rPr>
              <w:t>. The band size is</w:t>
            </w:r>
            <w:r w:rsidR="00FD7D8D" w:rsidRPr="00FD7D8D">
              <w:rPr>
                <w:sz w:val="16"/>
                <w:szCs w:val="16"/>
                <w:lang w:val="en-US"/>
              </w:rPr>
              <w:t xml:space="preserve"> 71</w:t>
            </w:r>
            <w:r w:rsidRPr="00FD7D8D">
              <w:rPr>
                <w:sz w:val="16"/>
                <w:szCs w:val="16"/>
                <w:lang w:val="en-US"/>
              </w:rPr>
              <w:t xml:space="preserve"> kDa.</w:t>
            </w:r>
            <w:r w:rsidR="00FD7D8D">
              <w:rPr>
                <w:sz w:val="16"/>
                <w:szCs w:val="16"/>
                <w:lang w:val="en-US"/>
              </w:rPr>
              <w:t xml:space="preserve"> </w:t>
            </w:r>
          </w:p>
          <w:p w14:paraId="4CBBC38D" w14:textId="1A05E470" w:rsidR="00D33010" w:rsidRDefault="00D33010" w:rsidP="00127269">
            <w:pPr>
              <w:pStyle w:val="Lijstalinea"/>
              <w:numPr>
                <w:ilvl w:val="0"/>
                <w:numId w:val="5"/>
              </w:numPr>
              <w:ind w:left="454" w:hanging="425"/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>IHC-P: Tissue sections were pretreated wit</w:t>
            </w:r>
            <w:r w:rsidR="00B335B9" w:rsidRPr="00127269">
              <w:rPr>
                <w:sz w:val="16"/>
                <w:szCs w:val="16"/>
                <w:lang w:val="en-US"/>
              </w:rPr>
              <w:t>h a citrate antigen retrieval</w:t>
            </w:r>
            <w:r w:rsidR="009B23CE">
              <w:rPr>
                <w:sz w:val="16"/>
                <w:szCs w:val="16"/>
                <w:lang w:val="en-US"/>
              </w:rPr>
              <w:t xml:space="preserve"> followed by pepsin </w:t>
            </w:r>
            <w:r w:rsidR="00B335B9" w:rsidRPr="00127269">
              <w:rPr>
                <w:sz w:val="16"/>
                <w:szCs w:val="16"/>
                <w:lang w:val="en-US"/>
              </w:rPr>
              <w:t>(1 mg/ml)</w:t>
            </w:r>
            <w:r w:rsidRPr="00127269">
              <w:rPr>
                <w:sz w:val="16"/>
                <w:szCs w:val="16"/>
                <w:lang w:val="en-US"/>
              </w:rPr>
              <w:t xml:space="preserve"> and blocked with </w:t>
            </w:r>
            <w:r w:rsidR="00B335B9" w:rsidRPr="00127269">
              <w:rPr>
                <w:sz w:val="16"/>
                <w:szCs w:val="16"/>
                <w:lang w:val="en-US"/>
              </w:rPr>
              <w:t>0.3% BSA + 15% normal goat serum</w:t>
            </w:r>
            <w:r w:rsidRPr="00127269">
              <w:rPr>
                <w:sz w:val="16"/>
                <w:szCs w:val="16"/>
                <w:lang w:val="en-US"/>
              </w:rPr>
              <w:t xml:space="preserve">. </w:t>
            </w:r>
            <w:r w:rsidR="00B335B9" w:rsidRPr="00127269">
              <w:rPr>
                <w:sz w:val="16"/>
                <w:szCs w:val="16"/>
                <w:lang w:val="en-US"/>
              </w:rPr>
              <w:t>B7 staining was used at 10 µg/ml (overnight at 4º</w:t>
            </w:r>
            <w:r w:rsidR="00A22F30">
              <w:rPr>
                <w:sz w:val="16"/>
                <w:szCs w:val="16"/>
                <w:lang w:val="en-US"/>
              </w:rPr>
              <w:t>C</w:t>
            </w:r>
            <w:r w:rsidR="00B335B9" w:rsidRPr="00127269">
              <w:rPr>
                <w:sz w:val="16"/>
                <w:szCs w:val="16"/>
                <w:lang w:val="en-US"/>
              </w:rPr>
              <w:t xml:space="preserve">). </w:t>
            </w:r>
          </w:p>
          <w:p w14:paraId="3D06BA95" w14:textId="669DCE4E" w:rsidR="00D81994" w:rsidRPr="00127269" w:rsidRDefault="00D81994" w:rsidP="00127269">
            <w:pPr>
              <w:pStyle w:val="Lijstalinea"/>
              <w:numPr>
                <w:ilvl w:val="0"/>
                <w:numId w:val="5"/>
              </w:numPr>
              <w:ind w:left="454" w:hanging="42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IF: </w:t>
            </w:r>
            <w:r w:rsidR="00C75B7B" w:rsidRPr="00C75B7B">
              <w:rPr>
                <w:sz w:val="16"/>
                <w:szCs w:val="16"/>
                <w:lang w:val="en-US"/>
              </w:rPr>
              <w:t xml:space="preserve">Antigen retrieval was performed </w:t>
            </w:r>
            <w:r w:rsidR="00C75B7B">
              <w:rPr>
                <w:sz w:val="16"/>
                <w:szCs w:val="16"/>
                <w:lang w:val="en-US"/>
              </w:rPr>
              <w:t xml:space="preserve">on </w:t>
            </w:r>
            <w:r w:rsidR="00C75B7B" w:rsidRPr="00C75B7B">
              <w:rPr>
                <w:sz w:val="16"/>
                <w:szCs w:val="16"/>
                <w:lang w:val="en-US"/>
              </w:rPr>
              <w:t xml:space="preserve">Duboscq-Brazil fixed, paraffin embedded human kidney sections with buffer pH 6.0, in decloaking chamber. After blocking non-specific sites with 1% BSA, sections were incubated with </w:t>
            </w:r>
            <w:r w:rsidR="00C75B7B">
              <w:rPr>
                <w:sz w:val="16"/>
                <w:szCs w:val="16"/>
                <w:lang w:val="en-US"/>
              </w:rPr>
              <w:t>B7</w:t>
            </w:r>
            <w:r w:rsidR="00C75B7B" w:rsidRPr="00C75B7B">
              <w:rPr>
                <w:sz w:val="16"/>
                <w:szCs w:val="16"/>
                <w:lang w:val="en-US"/>
              </w:rPr>
              <w:t xml:space="preserve"> antibody diluted 1:100 in PBS1x, followed by Cy3-conjugated donkey anti-mouse secondary antibody. Nuclei were stained with DAPI, while renal structures were highlighted with fluorescein wheat-germ agglutinin.  </w:t>
            </w:r>
          </w:p>
          <w:p w14:paraId="0E992D76" w14:textId="77777777" w:rsidR="00127269" w:rsidRDefault="00127269" w:rsidP="00127269">
            <w:pPr>
              <w:pStyle w:val="Lijstalinea"/>
              <w:numPr>
                <w:ilvl w:val="0"/>
                <w:numId w:val="5"/>
              </w:numPr>
              <w:ind w:left="454" w:hanging="425"/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>IA: The B</w:t>
            </w:r>
            <w:r>
              <w:rPr>
                <w:sz w:val="16"/>
                <w:szCs w:val="16"/>
                <w:lang w:val="en-US"/>
              </w:rPr>
              <w:t xml:space="preserve">7 antibody </w:t>
            </w:r>
            <w:r w:rsidR="00FD7D8D">
              <w:rPr>
                <w:sz w:val="16"/>
                <w:szCs w:val="16"/>
                <w:lang w:val="en-US"/>
              </w:rPr>
              <w:t xml:space="preserve">(1 µg/ml) </w:t>
            </w:r>
            <w:r>
              <w:rPr>
                <w:sz w:val="16"/>
                <w:szCs w:val="16"/>
                <w:lang w:val="en-US"/>
              </w:rPr>
              <w:t>was captured overnight at 4ºC in PBS and blocked with 1% BSA + PBS-T. A polyclonal rabbit-anti-human C9 antibody was used as the detection (Ref 1</w:t>
            </w:r>
            <w:r w:rsidR="00FD7D8D">
              <w:rPr>
                <w:sz w:val="16"/>
                <w:szCs w:val="16"/>
                <w:lang w:val="en-US"/>
              </w:rPr>
              <w:t>,2</w:t>
            </w:r>
            <w:r>
              <w:rPr>
                <w:sz w:val="16"/>
                <w:szCs w:val="16"/>
                <w:lang w:val="en-US"/>
              </w:rPr>
              <w:t>).</w:t>
            </w:r>
          </w:p>
          <w:p w14:paraId="65FF0971" w14:textId="45EC315F" w:rsidR="00066653" w:rsidRPr="00127269" w:rsidRDefault="00066653" w:rsidP="00066653">
            <w:pPr>
              <w:pStyle w:val="Lijstalinea"/>
              <w:ind w:left="454"/>
              <w:rPr>
                <w:rStyle w:val="Tekencursief7pt"/>
                <w:i w:val="0"/>
                <w:sz w:val="16"/>
                <w:szCs w:val="16"/>
                <w:lang w:val="en-US"/>
              </w:rPr>
            </w:pPr>
          </w:p>
        </w:tc>
      </w:tr>
    </w:tbl>
    <w:p w14:paraId="7B8A3C56" w14:textId="77777777" w:rsidR="00536BCC" w:rsidRDefault="00536BCC" w:rsidP="00536BCC">
      <w:pPr>
        <w:pBdr>
          <w:top w:val="single" w:sz="4" w:space="1" w:color="auto"/>
          <w:bottom w:val="single" w:sz="4" w:space="1" w:color="auto"/>
        </w:pBdr>
        <w:spacing w:before="120" w:after="120"/>
        <w:ind w:left="-567" w:right="-472"/>
        <w:jc w:val="center"/>
      </w:pPr>
      <w:r w:rsidRPr="0030710B">
        <w:rPr>
          <w:b/>
          <w:sz w:val="20"/>
          <w:szCs w:val="20"/>
          <w:lang w:val="en-US"/>
        </w:rPr>
        <w:t>General Information</w:t>
      </w:r>
    </w:p>
    <w:tbl>
      <w:tblPr>
        <w:tblW w:w="5577" w:type="pct"/>
        <w:tblInd w:w="-567" w:type="dxa"/>
        <w:tblLook w:val="01E0" w:firstRow="1" w:lastRow="1" w:firstColumn="1" w:lastColumn="1" w:noHBand="0" w:noVBand="0"/>
      </w:tblPr>
      <w:tblGrid>
        <w:gridCol w:w="1561"/>
        <w:gridCol w:w="8507"/>
      </w:tblGrid>
      <w:tr w:rsidR="009665A3" w:rsidRPr="00D81994" w14:paraId="75671ACE" w14:textId="77777777" w:rsidTr="00536BCC">
        <w:trPr>
          <w:trHeight w:val="240"/>
        </w:trPr>
        <w:tc>
          <w:tcPr>
            <w:tcW w:w="775" w:type="pct"/>
            <w:tcMar>
              <w:top w:w="170" w:type="dxa"/>
            </w:tcMar>
          </w:tcPr>
          <w:p w14:paraId="01399C91" w14:textId="77777777" w:rsidR="009665A3" w:rsidRPr="00182C93" w:rsidRDefault="009665A3" w:rsidP="009665A3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4225" w:type="pct"/>
            <w:tcMar>
              <w:top w:w="170" w:type="dxa"/>
            </w:tcMar>
          </w:tcPr>
          <w:p w14:paraId="1A381AC1" w14:textId="33E0DBC1" w:rsidR="009665A3" w:rsidRPr="009665A3" w:rsidRDefault="009665A3" w:rsidP="002E6B7C">
            <w:pPr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 xml:space="preserve">The </w:t>
            </w:r>
            <w:r w:rsidR="00FD7D8D">
              <w:rPr>
                <w:sz w:val="16"/>
                <w:szCs w:val="16"/>
                <w:lang w:val="en-US"/>
              </w:rPr>
              <w:t>monoclonal B7</w:t>
            </w:r>
            <w:r w:rsidRPr="00182C93">
              <w:rPr>
                <w:sz w:val="16"/>
                <w:szCs w:val="16"/>
                <w:lang w:val="en-US"/>
              </w:rPr>
              <w:t xml:space="preserve"> antibody</w:t>
            </w:r>
            <w:r w:rsidR="00FD7D8D">
              <w:rPr>
                <w:sz w:val="16"/>
                <w:szCs w:val="16"/>
                <w:lang w:val="en-US"/>
              </w:rPr>
              <w:t xml:space="preserve"> (HM2443)</w:t>
            </w:r>
            <w:r w:rsidRPr="00182C93">
              <w:rPr>
                <w:sz w:val="16"/>
                <w:szCs w:val="16"/>
                <w:lang w:val="en-US"/>
              </w:rPr>
              <w:t xml:space="preserve"> recognize</w:t>
            </w:r>
            <w:r w:rsidR="00FD7D8D">
              <w:rPr>
                <w:sz w:val="16"/>
                <w:szCs w:val="16"/>
                <w:lang w:val="en-US"/>
              </w:rPr>
              <w:t xml:space="preserve">s </w:t>
            </w:r>
            <w:r w:rsidR="00A3041E">
              <w:rPr>
                <w:sz w:val="16"/>
                <w:szCs w:val="16"/>
                <w:lang w:val="en-US"/>
              </w:rPr>
              <w:t xml:space="preserve">a C9 epitope of the </w:t>
            </w:r>
            <w:r w:rsidR="002E6B7C">
              <w:rPr>
                <w:sz w:val="16"/>
                <w:szCs w:val="16"/>
                <w:lang w:val="en-US"/>
              </w:rPr>
              <w:t>membrane attack</w:t>
            </w:r>
            <w:r w:rsidR="00A3041E">
              <w:rPr>
                <w:sz w:val="16"/>
                <w:szCs w:val="16"/>
                <w:lang w:val="en-US"/>
              </w:rPr>
              <w:t xml:space="preserve"> complex (</w:t>
            </w:r>
            <w:r w:rsidR="002E6B7C">
              <w:rPr>
                <w:sz w:val="16"/>
                <w:szCs w:val="16"/>
                <w:lang w:val="en-US"/>
              </w:rPr>
              <w:t>MA</w:t>
            </w:r>
            <w:r w:rsidR="00A3041E">
              <w:rPr>
                <w:sz w:val="16"/>
                <w:szCs w:val="16"/>
                <w:lang w:val="en-US"/>
              </w:rPr>
              <w:t>C). The three distinct activation pathways of complement converge with the formation of a C</w:t>
            </w:r>
            <w:r w:rsidR="002E6B7C">
              <w:rPr>
                <w:sz w:val="16"/>
                <w:szCs w:val="16"/>
                <w:lang w:val="en-US"/>
              </w:rPr>
              <w:t>3</w:t>
            </w:r>
            <w:r w:rsidR="00A3041E">
              <w:rPr>
                <w:sz w:val="16"/>
                <w:szCs w:val="16"/>
                <w:lang w:val="en-US"/>
              </w:rPr>
              <w:t xml:space="preserve"> convertase</w:t>
            </w:r>
            <w:r w:rsidR="007830F9">
              <w:rPr>
                <w:sz w:val="16"/>
                <w:szCs w:val="16"/>
                <w:lang w:val="en-US"/>
              </w:rPr>
              <w:t xml:space="preserve"> </w:t>
            </w:r>
            <w:r w:rsidR="007830F9" w:rsidRPr="007830F9">
              <w:rPr>
                <w:sz w:val="16"/>
                <w:szCs w:val="16"/>
                <w:lang w:val="en-US"/>
              </w:rPr>
              <w:t>and subsequently C3b. This initiates the formation of the C5 convertase</w:t>
            </w:r>
            <w:r w:rsidR="00A3041E">
              <w:rPr>
                <w:sz w:val="16"/>
                <w:szCs w:val="16"/>
                <w:lang w:val="en-US"/>
              </w:rPr>
              <w:t xml:space="preserve">. The cleavage of C5 by this convertase initiates the lytic or terminal pathway. In contrast to the </w:t>
            </w:r>
            <w:r w:rsidR="007830F9">
              <w:rPr>
                <w:sz w:val="16"/>
                <w:szCs w:val="16"/>
                <w:lang w:val="en-US"/>
              </w:rPr>
              <w:t xml:space="preserve">three </w:t>
            </w:r>
            <w:r w:rsidR="00A3041E">
              <w:rPr>
                <w:sz w:val="16"/>
                <w:szCs w:val="16"/>
                <w:lang w:val="en-US"/>
              </w:rPr>
              <w:t xml:space="preserve">activation pathways, which require enzymatic cleavage for activation, the terminal </w:t>
            </w:r>
            <w:r w:rsidR="00A3041E">
              <w:rPr>
                <w:sz w:val="16"/>
                <w:szCs w:val="16"/>
                <w:lang w:val="en-US"/>
              </w:rPr>
              <w:lastRenderedPageBreak/>
              <w:t xml:space="preserve">pathway relies on conformational changes induced by binding. Binding of C6 </w:t>
            </w:r>
            <w:r w:rsidR="007830F9">
              <w:rPr>
                <w:sz w:val="16"/>
                <w:szCs w:val="16"/>
                <w:lang w:val="en-US"/>
              </w:rPr>
              <w:t xml:space="preserve">to C5b </w:t>
            </w:r>
            <w:r w:rsidR="00A3041E">
              <w:rPr>
                <w:sz w:val="16"/>
                <w:szCs w:val="16"/>
                <w:lang w:val="en-US"/>
              </w:rPr>
              <w:t xml:space="preserve">facilitates binding of C7 which alters the conformation of the complex. After binding of C8, a variable number of C9 molecules associates to the C5b-8 complex to form C5b-9, which is also termed as </w:t>
            </w:r>
            <w:r w:rsidR="002E6B7C">
              <w:rPr>
                <w:sz w:val="16"/>
                <w:szCs w:val="16"/>
                <w:lang w:val="en-US"/>
              </w:rPr>
              <w:t>MAC</w:t>
            </w:r>
            <w:r w:rsidR="00A3041E">
              <w:rPr>
                <w:sz w:val="16"/>
                <w:szCs w:val="16"/>
                <w:lang w:val="en-US"/>
              </w:rPr>
              <w:t>.</w:t>
            </w:r>
            <w:r w:rsidR="002E6B7C">
              <w:rPr>
                <w:sz w:val="16"/>
                <w:szCs w:val="16"/>
                <w:lang w:val="en-US"/>
              </w:rPr>
              <w:t xml:space="preserve"> </w:t>
            </w:r>
            <w:r w:rsidR="00A3041E">
              <w:rPr>
                <w:sz w:val="16"/>
                <w:szCs w:val="16"/>
                <w:lang w:val="en-US"/>
              </w:rPr>
              <w:t xml:space="preserve">The formation of </w:t>
            </w:r>
            <w:r w:rsidR="002E6B7C">
              <w:rPr>
                <w:sz w:val="16"/>
                <w:szCs w:val="16"/>
                <w:lang w:val="en-US"/>
              </w:rPr>
              <w:t>MA</w:t>
            </w:r>
            <w:r w:rsidR="00A3041E">
              <w:rPr>
                <w:sz w:val="16"/>
                <w:szCs w:val="16"/>
                <w:lang w:val="en-US"/>
              </w:rPr>
              <w:t>C causes lysis of cell</w:t>
            </w:r>
            <w:r w:rsidR="002E6B7C">
              <w:rPr>
                <w:sz w:val="16"/>
                <w:szCs w:val="16"/>
                <w:lang w:val="en-US"/>
              </w:rPr>
              <w:t>s when the incorporated</w:t>
            </w:r>
            <w:r w:rsidR="00A3041E">
              <w:rPr>
                <w:sz w:val="16"/>
                <w:szCs w:val="16"/>
                <w:lang w:val="en-US"/>
              </w:rPr>
              <w:t xml:space="preserve"> C9 molecules of the complex</w:t>
            </w:r>
            <w:r w:rsidR="002E6B7C">
              <w:rPr>
                <w:sz w:val="16"/>
                <w:szCs w:val="16"/>
                <w:lang w:val="en-US"/>
              </w:rPr>
              <w:t xml:space="preserve"> unite into a</w:t>
            </w:r>
            <w:r w:rsidR="00A3041E">
              <w:rPr>
                <w:sz w:val="16"/>
                <w:szCs w:val="16"/>
                <w:lang w:val="en-US"/>
              </w:rPr>
              <w:t xml:space="preserve"> pore-forming structure. The B7 antibody can be used to stain C5b-9 (or MAC) deposition in tissues and can recognize both C9 and </w:t>
            </w:r>
            <w:r w:rsidR="00882080">
              <w:rPr>
                <w:sz w:val="16"/>
                <w:szCs w:val="16"/>
                <w:lang w:val="en-US"/>
              </w:rPr>
              <w:t xml:space="preserve">soluble </w:t>
            </w:r>
            <w:r w:rsidR="00A3041E">
              <w:rPr>
                <w:sz w:val="16"/>
                <w:szCs w:val="16"/>
                <w:lang w:val="en-US"/>
              </w:rPr>
              <w:t>C5b-9</w:t>
            </w:r>
            <w:r w:rsidR="00882080">
              <w:rPr>
                <w:sz w:val="16"/>
                <w:szCs w:val="16"/>
                <w:lang w:val="en-US"/>
              </w:rPr>
              <w:t xml:space="preserve"> (sC5b-9</w:t>
            </w:r>
            <w:r w:rsidR="002E6B7C">
              <w:rPr>
                <w:sz w:val="16"/>
                <w:szCs w:val="16"/>
                <w:lang w:val="en-US"/>
              </w:rPr>
              <w:t>/TCC</w:t>
            </w:r>
            <w:r w:rsidR="00882080">
              <w:rPr>
                <w:sz w:val="16"/>
                <w:szCs w:val="16"/>
                <w:lang w:val="en-US"/>
              </w:rPr>
              <w:t xml:space="preserve">) in fluid-phase matrices, like serum or plasma.  </w:t>
            </w:r>
            <w:r w:rsidR="00A3041E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F1370" w:rsidRPr="00D81994" w14:paraId="6EDF040D" w14:textId="77777777" w:rsidTr="00536BCC">
        <w:trPr>
          <w:trHeight w:val="71"/>
        </w:trPr>
        <w:tc>
          <w:tcPr>
            <w:tcW w:w="775" w:type="pct"/>
            <w:tcMar>
              <w:top w:w="170" w:type="dxa"/>
            </w:tcMar>
          </w:tcPr>
          <w:p w14:paraId="26E09C53" w14:textId="77777777" w:rsidR="002F1370" w:rsidRDefault="002F1370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Aliases</w:t>
            </w:r>
          </w:p>
        </w:tc>
        <w:tc>
          <w:tcPr>
            <w:tcW w:w="4225" w:type="pct"/>
            <w:tcMar>
              <w:top w:w="170" w:type="dxa"/>
            </w:tcMar>
          </w:tcPr>
          <w:p w14:paraId="11D9E2D0" w14:textId="1DB9CB69" w:rsidR="002F1370" w:rsidRPr="009665A3" w:rsidRDefault="002F459A" w:rsidP="0030710B">
            <w:pPr>
              <w:rPr>
                <w:rStyle w:val="Tekenvet"/>
                <w:b w:val="0"/>
                <w:sz w:val="16"/>
                <w:szCs w:val="16"/>
                <w:lang w:val="en-US"/>
              </w:rPr>
            </w:pPr>
            <w:r>
              <w:rPr>
                <w:rStyle w:val="Tekenvet"/>
                <w:b w:val="0"/>
                <w:sz w:val="16"/>
                <w:szCs w:val="16"/>
                <w:lang w:val="en-US"/>
              </w:rPr>
              <w:t xml:space="preserve">Membrane attack complex, </w:t>
            </w:r>
            <w:r w:rsidR="00882080">
              <w:rPr>
                <w:rStyle w:val="Tekenvet"/>
                <w:b w:val="0"/>
                <w:sz w:val="16"/>
                <w:szCs w:val="16"/>
                <w:lang w:val="en-US"/>
              </w:rPr>
              <w:t>Terminal complement complex, C5b-9 complex.</w:t>
            </w:r>
          </w:p>
        </w:tc>
      </w:tr>
      <w:tr w:rsidR="00FD28A1" w:rsidRPr="00D81994" w14:paraId="55B2CB0E" w14:textId="77777777" w:rsidTr="00536BCC">
        <w:trPr>
          <w:trHeight w:val="213"/>
        </w:trPr>
        <w:tc>
          <w:tcPr>
            <w:tcW w:w="775" w:type="pct"/>
            <w:tcMar>
              <w:top w:w="170" w:type="dxa"/>
            </w:tcMar>
          </w:tcPr>
          <w:p w14:paraId="3AFAF880" w14:textId="77777777" w:rsidR="00FD28A1" w:rsidRPr="00182C93" w:rsidRDefault="00FD28A1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Cross reactivity</w:t>
            </w:r>
          </w:p>
        </w:tc>
        <w:tc>
          <w:tcPr>
            <w:tcW w:w="4225" w:type="pct"/>
            <w:tcMar>
              <w:top w:w="170" w:type="dxa"/>
            </w:tcMar>
          </w:tcPr>
          <w:p w14:paraId="491C1733" w14:textId="424EEE5F" w:rsidR="00FD28A1" w:rsidRPr="00FD7D8D" w:rsidRDefault="00281C5F" w:rsidP="0030710B">
            <w:pPr>
              <w:rPr>
                <w:sz w:val="16"/>
                <w:szCs w:val="16"/>
                <w:lang w:val="en-US"/>
              </w:rPr>
            </w:pPr>
            <w:r w:rsidRPr="00FD7D8D">
              <w:rPr>
                <w:sz w:val="16"/>
                <w:szCs w:val="16"/>
                <w:lang w:val="en-US"/>
              </w:rPr>
              <w:t xml:space="preserve">The antibody is cross-reactive to </w:t>
            </w:r>
            <w:r w:rsidR="00FD7D8D">
              <w:rPr>
                <w:sz w:val="16"/>
                <w:szCs w:val="16"/>
                <w:lang w:val="en-US"/>
              </w:rPr>
              <w:t xml:space="preserve">human C9 and to rat C9/C5b-9. </w:t>
            </w:r>
            <w:r w:rsidRPr="00FD7D8D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0710B" w:rsidRPr="00182C93" w14:paraId="458BE6F6" w14:textId="77777777" w:rsidTr="00536BCC">
        <w:tc>
          <w:tcPr>
            <w:tcW w:w="775" w:type="pct"/>
            <w:tcMar>
              <w:top w:w="170" w:type="dxa"/>
            </w:tcMar>
          </w:tcPr>
          <w:p w14:paraId="4724B585" w14:textId="77777777" w:rsidR="0030710B" w:rsidRPr="00182C93" w:rsidRDefault="0030710B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References</w:t>
            </w:r>
          </w:p>
        </w:tc>
        <w:tc>
          <w:tcPr>
            <w:tcW w:w="4225" w:type="pct"/>
            <w:tcMar>
              <w:top w:w="170" w:type="dxa"/>
            </w:tcMar>
          </w:tcPr>
          <w:p w14:paraId="6B41D7E0" w14:textId="1B935A2D" w:rsidR="00773802" w:rsidRPr="00773802" w:rsidRDefault="00773802" w:rsidP="0030710B">
            <w:pPr>
              <w:pStyle w:val="Referenties"/>
              <w:rPr>
                <w:sz w:val="16"/>
                <w:szCs w:val="16"/>
                <w:lang w:val="en-US"/>
              </w:rPr>
            </w:pPr>
            <w:r w:rsidRPr="00773802">
              <w:rPr>
                <w:sz w:val="16"/>
                <w:szCs w:val="16"/>
                <w:lang w:val="en-US"/>
              </w:rPr>
              <w:t xml:space="preserve">Zelek WM, </w:t>
            </w:r>
            <w:r>
              <w:rPr>
                <w:sz w:val="16"/>
                <w:szCs w:val="16"/>
                <w:lang w:val="en-US"/>
              </w:rPr>
              <w:t>et Al</w:t>
            </w:r>
            <w:r w:rsidRPr="00773802">
              <w:rPr>
                <w:sz w:val="16"/>
                <w:szCs w:val="16"/>
                <w:lang w:val="en-US"/>
              </w:rPr>
              <w:t>. Cerebrospinal fluid complement system biomarkers in demyelinating disease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 w:rsidRPr="00773802">
              <w:rPr>
                <w:sz w:val="16"/>
                <w:szCs w:val="16"/>
                <w:lang w:val="en-US"/>
              </w:rPr>
              <w:t>2020</w:t>
            </w:r>
            <w:r>
              <w:rPr>
                <w:sz w:val="16"/>
                <w:szCs w:val="16"/>
                <w:lang w:val="en-US"/>
              </w:rPr>
              <w:t>.</w:t>
            </w:r>
            <w:r w:rsidRPr="00773802">
              <w:rPr>
                <w:sz w:val="16"/>
                <w:szCs w:val="16"/>
                <w:lang w:val="en-US"/>
              </w:rPr>
              <w:t xml:space="preserve"> Mult Scler. Dec;26(14):1929-1937. </w:t>
            </w:r>
          </w:p>
          <w:p w14:paraId="570713B5" w14:textId="1C478B76" w:rsidR="0030710B" w:rsidRPr="00882080" w:rsidRDefault="00773802" w:rsidP="00882080">
            <w:pPr>
              <w:pStyle w:val="Referenties"/>
              <w:rPr>
                <w:sz w:val="16"/>
                <w:szCs w:val="16"/>
                <w:lang w:val="en-US"/>
              </w:rPr>
            </w:pPr>
            <w:r w:rsidRPr="00773802">
              <w:rPr>
                <w:sz w:val="16"/>
                <w:szCs w:val="16"/>
                <w:lang w:val="en-US"/>
              </w:rPr>
              <w:t xml:space="preserve">McMahon O, </w:t>
            </w:r>
            <w:r>
              <w:rPr>
                <w:sz w:val="16"/>
                <w:szCs w:val="16"/>
                <w:lang w:val="en-US"/>
              </w:rPr>
              <w:t>et Al</w:t>
            </w:r>
            <w:r w:rsidRPr="00773802">
              <w:rPr>
                <w:sz w:val="16"/>
                <w:szCs w:val="16"/>
                <w:lang w:val="en-US"/>
              </w:rPr>
              <w:t>. The rare C9 P167S risk variant for age-related macular degeneration increases polymerization of the terminal component of the complement cascade</w:t>
            </w:r>
            <w:r>
              <w:rPr>
                <w:sz w:val="16"/>
                <w:szCs w:val="16"/>
                <w:lang w:val="en-US"/>
              </w:rPr>
              <w:t>, 2021</w:t>
            </w:r>
            <w:r w:rsidRPr="00773802">
              <w:rPr>
                <w:sz w:val="16"/>
                <w:szCs w:val="16"/>
                <w:lang w:val="en-US"/>
              </w:rPr>
              <w:t xml:space="preserve">. Hum Mol Genet. Jun 17;30(13):1188-1199. </w:t>
            </w:r>
          </w:p>
        </w:tc>
      </w:tr>
      <w:tr w:rsidR="0030710B" w:rsidRPr="00D81994" w14:paraId="4EFDFFCE" w14:textId="77777777" w:rsidTr="00536BCC">
        <w:tc>
          <w:tcPr>
            <w:tcW w:w="775" w:type="pct"/>
            <w:tcMar>
              <w:top w:w="170" w:type="dxa"/>
            </w:tcMar>
          </w:tcPr>
          <w:p w14:paraId="23284DE6" w14:textId="77777777" w:rsidR="0030710B" w:rsidRPr="00182C93" w:rsidRDefault="00FD28A1" w:rsidP="0030710B">
            <w:pPr>
              <w:pStyle w:val="Koppenve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Storage&amp;</w:t>
            </w:r>
            <w:r w:rsidR="0030710B" w:rsidRPr="00182C93">
              <w:rPr>
                <w:sz w:val="16"/>
                <w:szCs w:val="16"/>
              </w:rPr>
              <w:t>stability</w:t>
            </w:r>
          </w:p>
        </w:tc>
        <w:tc>
          <w:tcPr>
            <w:tcW w:w="4225" w:type="pct"/>
            <w:tcMar>
              <w:top w:w="170" w:type="dxa"/>
            </w:tcMar>
          </w:tcPr>
          <w:p w14:paraId="5C4144EC" w14:textId="77777777" w:rsidR="0030710B" w:rsidRPr="00182C93" w:rsidRDefault="0030710B" w:rsidP="0030710B">
            <w:pPr>
              <w:pStyle w:val="Tekstintabel"/>
              <w:rPr>
                <w:sz w:val="16"/>
                <w:szCs w:val="16"/>
              </w:rPr>
            </w:pPr>
            <w:r w:rsidRPr="00182C93">
              <w:rPr>
                <w:sz w:val="16"/>
                <w:szCs w:val="16"/>
              </w:rPr>
              <w:t xml:space="preserve">Product should be stored at 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182C93">
                <w:rPr>
                  <w:sz w:val="16"/>
                  <w:szCs w:val="16"/>
                </w:rPr>
                <w:t>4°C</w:t>
              </w:r>
            </w:smartTag>
            <w:r w:rsidRPr="00182C93">
              <w:rPr>
                <w:sz w:val="16"/>
                <w:szCs w:val="16"/>
              </w:rPr>
              <w:t>. Under recommended storage conditions, product is stable for at least one year.</w:t>
            </w:r>
          </w:p>
        </w:tc>
      </w:tr>
      <w:tr w:rsidR="0030710B" w:rsidRPr="00D81994" w14:paraId="48ECF7CD" w14:textId="77777777" w:rsidTr="00536BCC">
        <w:tc>
          <w:tcPr>
            <w:tcW w:w="775" w:type="pct"/>
            <w:tcMar>
              <w:top w:w="170" w:type="dxa"/>
            </w:tcMar>
          </w:tcPr>
          <w:p w14:paraId="014B5529" w14:textId="77777777" w:rsidR="0030710B" w:rsidRPr="00182C93" w:rsidRDefault="0030710B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Precautions</w:t>
            </w:r>
          </w:p>
        </w:tc>
        <w:tc>
          <w:tcPr>
            <w:tcW w:w="4225" w:type="pct"/>
            <w:tcMar>
              <w:top w:w="170" w:type="dxa"/>
            </w:tcMar>
          </w:tcPr>
          <w:p w14:paraId="420EB8C5" w14:textId="77777777" w:rsidR="0030710B" w:rsidRPr="00182C93" w:rsidRDefault="0030710B" w:rsidP="0030710B">
            <w:pPr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For research use only. Not for use in or on humans or animals or for diagnostics. It is the responsibility of the user to comply with all local/state and federal rules in the use of this product. Hycult Biotech is not responsible for any patent infringements that might result from the use or derivation of this product.</w:t>
            </w:r>
          </w:p>
          <w:p w14:paraId="49D34438" w14:textId="77777777" w:rsidR="0030710B" w:rsidRPr="00182C93" w:rsidRDefault="0030710B" w:rsidP="0030710B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5EB5D0C" w14:textId="77777777" w:rsidR="00AE7309" w:rsidRPr="00DA39C5" w:rsidRDefault="00AE7309" w:rsidP="00AE7309">
      <w:pPr>
        <w:rPr>
          <w:lang w:val="en-US"/>
        </w:rPr>
      </w:pPr>
    </w:p>
    <w:tbl>
      <w:tblPr>
        <w:tblStyle w:val="Tabelraster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0"/>
      </w:tblGrid>
      <w:tr w:rsidR="00434D97" w:rsidRPr="00D81994" w14:paraId="35B608D2" w14:textId="77777777" w:rsidTr="002F0167"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715D6C93" w14:textId="77777777" w:rsidR="002F0167" w:rsidRDefault="002F0167" w:rsidP="00696181">
            <w:pPr>
              <w:rPr>
                <w:sz w:val="16"/>
                <w:szCs w:val="16"/>
                <w:lang w:val="en-GB"/>
              </w:rPr>
            </w:pPr>
          </w:p>
          <w:p w14:paraId="281B2DBA" w14:textId="77777777" w:rsidR="00434D97" w:rsidRPr="00434D97" w:rsidRDefault="00434D97" w:rsidP="00536BCC">
            <w:pPr>
              <w:rPr>
                <w:sz w:val="16"/>
                <w:szCs w:val="16"/>
                <w:lang w:val="en-GB"/>
              </w:rPr>
            </w:pPr>
            <w:r w:rsidRPr="00434D97">
              <w:rPr>
                <w:sz w:val="16"/>
                <w:szCs w:val="16"/>
                <w:lang w:val="en-GB"/>
              </w:rPr>
              <w:t>We hereby certify that the above</w:t>
            </w:r>
            <w:r w:rsidR="00536BCC">
              <w:rPr>
                <w:sz w:val="16"/>
                <w:szCs w:val="16"/>
                <w:lang w:val="en-GB"/>
              </w:rPr>
              <w:t>-</w:t>
            </w:r>
            <w:r w:rsidR="003F7557">
              <w:rPr>
                <w:sz w:val="16"/>
                <w:szCs w:val="16"/>
                <w:lang w:val="en-GB"/>
              </w:rPr>
              <w:t>stated</w:t>
            </w:r>
            <w:r w:rsidRPr="00434D97">
              <w:rPr>
                <w:sz w:val="16"/>
                <w:szCs w:val="16"/>
                <w:lang w:val="en-GB"/>
              </w:rPr>
              <w:t xml:space="preserve"> information is correct and that this product has been </w:t>
            </w:r>
            <w:r w:rsidR="003F7557" w:rsidRPr="00434D97">
              <w:rPr>
                <w:sz w:val="16"/>
                <w:szCs w:val="16"/>
                <w:lang w:val="en-GB"/>
              </w:rPr>
              <w:t xml:space="preserve">successfully </w:t>
            </w:r>
            <w:r w:rsidRPr="00434D97">
              <w:rPr>
                <w:sz w:val="16"/>
                <w:szCs w:val="16"/>
                <w:lang w:val="en-GB"/>
              </w:rPr>
              <w:t>tested by the Quality Control Department. This product was released for sale according to the existing specifications. This document has been produced electronically and is valid without a signature.</w:t>
            </w:r>
          </w:p>
        </w:tc>
      </w:tr>
      <w:tr w:rsidR="00507A65" w:rsidRPr="00D81994" w14:paraId="1034E455" w14:textId="77777777" w:rsidTr="004E6E72">
        <w:tc>
          <w:tcPr>
            <w:tcW w:w="10060" w:type="dxa"/>
            <w:gridSpan w:val="2"/>
          </w:tcPr>
          <w:p w14:paraId="7D3FB5F8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</w:p>
        </w:tc>
      </w:tr>
      <w:tr w:rsidR="00507A65" w:rsidRPr="00D81994" w14:paraId="2880E503" w14:textId="77777777" w:rsidTr="004E6E72">
        <w:tc>
          <w:tcPr>
            <w:tcW w:w="5030" w:type="dxa"/>
          </w:tcPr>
          <w:p w14:paraId="58284075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  <w:r w:rsidRPr="00434D97">
              <w:rPr>
                <w:sz w:val="16"/>
                <w:szCs w:val="16"/>
                <w:lang w:val="en-GB"/>
              </w:rPr>
              <w:t>Approved by Manager of QC</w:t>
            </w:r>
            <w:r w:rsidRPr="00434D97">
              <w:rPr>
                <w:sz w:val="16"/>
                <w:szCs w:val="16"/>
                <w:lang w:val="en-GB"/>
              </w:rPr>
              <w:tab/>
            </w:r>
          </w:p>
        </w:tc>
        <w:tc>
          <w:tcPr>
            <w:tcW w:w="5030" w:type="dxa"/>
          </w:tcPr>
          <w:p w14:paraId="1B3DAF75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</w:p>
        </w:tc>
      </w:tr>
      <w:tr w:rsidR="00507A65" w:rsidRPr="00434D97" w14:paraId="321B2C5F" w14:textId="77777777" w:rsidTr="004E6E72">
        <w:tc>
          <w:tcPr>
            <w:tcW w:w="5030" w:type="dxa"/>
          </w:tcPr>
          <w:p w14:paraId="73DE5ED5" w14:textId="1A5F3089" w:rsidR="00507A65" w:rsidRDefault="00507A65" w:rsidP="004E6E7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  <w:p w14:paraId="34E8FACE" w14:textId="77777777" w:rsidR="00507A65" w:rsidRDefault="00507A65" w:rsidP="004E6E72">
            <w:pPr>
              <w:rPr>
                <w:sz w:val="16"/>
                <w:szCs w:val="16"/>
                <w:lang w:val="en-GB"/>
              </w:rPr>
            </w:pPr>
          </w:p>
          <w:p w14:paraId="68EA7A30" w14:textId="77777777" w:rsidR="00507A65" w:rsidRDefault="00507A65" w:rsidP="004E6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Date</w:t>
            </w:r>
          </w:p>
          <w:p w14:paraId="065E7CFA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030" w:type="dxa"/>
          </w:tcPr>
          <w:p w14:paraId="71ED27C2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</w:p>
        </w:tc>
      </w:tr>
      <w:tr w:rsidR="00434D97" w:rsidRPr="00434D97" w14:paraId="1B78E1FD" w14:textId="77777777" w:rsidTr="002F0167">
        <w:tc>
          <w:tcPr>
            <w:tcW w:w="10060" w:type="dxa"/>
            <w:gridSpan w:val="2"/>
          </w:tcPr>
          <w:p w14:paraId="0F506D2C" w14:textId="77777777" w:rsidR="00434D97" w:rsidRPr="00434D97" w:rsidRDefault="00434D97" w:rsidP="00696181">
            <w:pPr>
              <w:rPr>
                <w:sz w:val="16"/>
                <w:szCs w:val="16"/>
                <w:lang w:val="en-US"/>
              </w:rPr>
            </w:pPr>
          </w:p>
        </w:tc>
      </w:tr>
      <w:tr w:rsidR="00434D97" w:rsidRPr="00D81994" w14:paraId="33616522" w14:textId="77777777" w:rsidTr="002F0167">
        <w:tc>
          <w:tcPr>
            <w:tcW w:w="10060" w:type="dxa"/>
            <w:gridSpan w:val="2"/>
          </w:tcPr>
          <w:p w14:paraId="078278D0" w14:textId="77777777" w:rsidR="00434D97" w:rsidRPr="00434D97" w:rsidRDefault="00434D97" w:rsidP="009A0FD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Do you have</w:t>
            </w:r>
            <w:r w:rsidR="00CB0D5A">
              <w:rPr>
                <w:sz w:val="16"/>
                <w:szCs w:val="16"/>
                <w:lang w:val="en-GB"/>
              </w:rPr>
              <w:t xml:space="preserve"> any</w:t>
            </w:r>
            <w:r>
              <w:rPr>
                <w:sz w:val="16"/>
                <w:szCs w:val="16"/>
                <w:lang w:val="en-GB"/>
              </w:rPr>
              <w:t xml:space="preserve"> questions or comments regarding this product? P</w:t>
            </w:r>
            <w:r w:rsidRPr="00434D97">
              <w:rPr>
                <w:sz w:val="16"/>
                <w:szCs w:val="16"/>
                <w:lang w:val="en-GB"/>
              </w:rPr>
              <w:t>lease contact us</w:t>
            </w:r>
            <w:r w:rsidR="009A0FDD">
              <w:rPr>
                <w:sz w:val="16"/>
                <w:szCs w:val="16"/>
                <w:lang w:val="en-GB"/>
              </w:rPr>
              <w:t xml:space="preserve"> via</w:t>
            </w:r>
            <w:r w:rsidRPr="00434D97">
              <w:rPr>
                <w:sz w:val="16"/>
                <w:szCs w:val="16"/>
                <w:lang w:val="en-GB"/>
              </w:rPr>
              <w:t xml:space="preserve"> </w:t>
            </w:r>
            <w:hyperlink r:id="rId12" w:history="1">
              <w:r w:rsidRPr="00434D97">
                <w:rPr>
                  <w:rStyle w:val="Hyperlink"/>
                  <w:sz w:val="16"/>
                  <w:szCs w:val="16"/>
                  <w:lang w:val="en-GB"/>
                </w:rPr>
                <w:t>support@hycultbiotech.com</w:t>
              </w:r>
            </w:hyperlink>
            <w:r w:rsidRPr="00434D97">
              <w:rPr>
                <w:sz w:val="16"/>
                <w:szCs w:val="16"/>
                <w:lang w:val="en-GB"/>
              </w:rPr>
              <w:t xml:space="preserve">. </w:t>
            </w:r>
          </w:p>
        </w:tc>
      </w:tr>
    </w:tbl>
    <w:p w14:paraId="3A718B37" w14:textId="77777777" w:rsidR="00C877F1" w:rsidRDefault="00C877F1" w:rsidP="00434D97">
      <w:pPr>
        <w:rPr>
          <w:lang w:val="en-GB"/>
        </w:rPr>
      </w:pPr>
    </w:p>
    <w:p w14:paraId="30F689DC" w14:textId="77777777" w:rsidR="00C877F1" w:rsidRPr="00C877F1" w:rsidRDefault="00C877F1" w:rsidP="00C877F1">
      <w:pPr>
        <w:rPr>
          <w:lang w:val="en-GB"/>
        </w:rPr>
      </w:pPr>
    </w:p>
    <w:p w14:paraId="7D137E55" w14:textId="77777777" w:rsidR="00C877F1" w:rsidRPr="00C877F1" w:rsidRDefault="00C877F1" w:rsidP="00C877F1">
      <w:pPr>
        <w:rPr>
          <w:lang w:val="en-GB"/>
        </w:rPr>
      </w:pPr>
    </w:p>
    <w:p w14:paraId="508A3B2F" w14:textId="39113804" w:rsidR="00997CC5" w:rsidRPr="00C877F1" w:rsidRDefault="00997CC5" w:rsidP="00AB78DB">
      <w:pPr>
        <w:tabs>
          <w:tab w:val="left" w:pos="5700"/>
        </w:tabs>
        <w:rPr>
          <w:lang w:val="en-GB"/>
        </w:rPr>
      </w:pPr>
    </w:p>
    <w:sectPr w:rsidR="00997CC5" w:rsidRPr="00C877F1" w:rsidSect="00FB21E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8D1D" w14:textId="77777777" w:rsidR="003F71D4" w:rsidRDefault="003F71D4" w:rsidP="00E71195">
      <w:r>
        <w:separator/>
      </w:r>
    </w:p>
  </w:endnote>
  <w:endnote w:type="continuationSeparator" w:id="0">
    <w:p w14:paraId="0A50D013" w14:textId="77777777" w:rsidR="003F71D4" w:rsidRDefault="003F71D4" w:rsidP="00E7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7C59" w14:textId="77777777" w:rsidR="00A14FDC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sz w:val="14"/>
        <w:lang w:val="en-GB"/>
      </w:rPr>
    </w:pPr>
  </w:p>
  <w:p w14:paraId="627C1249" w14:textId="77777777" w:rsidR="00A14FDC" w:rsidRPr="008C7762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sz w:val="14"/>
        <w:lang w:val="en-GB"/>
      </w:rPr>
    </w:pPr>
    <w:r w:rsidRPr="008C7762">
      <w:rPr>
        <w:sz w:val="14"/>
        <w:lang w:val="en-GB"/>
      </w:rPr>
      <w:t>www.hycultbiotech.</w:t>
    </w:r>
    <w:r>
      <w:rPr>
        <w:sz w:val="14"/>
        <w:lang w:val="en-GB"/>
      </w:rPr>
      <w:t xml:space="preserve">com                   </w:t>
    </w:r>
    <w:r w:rsidRPr="008C7762">
      <w:rPr>
        <w:sz w:val="14"/>
        <w:lang w:val="en-GB"/>
      </w:rPr>
      <w:t xml:space="preserve">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Antibody, Protein and ELISA Manufacturer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&gt;20 years experience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Support within 1 working day</w:t>
    </w:r>
    <w:r>
      <w:rPr>
        <w:sz w:val="14"/>
        <w:lang w:val="en-GB"/>
      </w:rPr>
      <w:tab/>
      <w:t xml:space="preserve">        </w:t>
    </w:r>
    <w:r w:rsidRPr="008C7762">
      <w:rPr>
        <w:sz w:val="14"/>
        <w:lang w:val="en-GB"/>
      </w:rPr>
      <w:t>Version</w:t>
    </w:r>
    <w:r>
      <w:rPr>
        <w:sz w:val="14"/>
        <w:lang w:val="en-GB"/>
      </w:rPr>
      <w:t>: 10</w:t>
    </w:r>
    <w:r w:rsidRPr="008C7762">
      <w:rPr>
        <w:sz w:val="14"/>
        <w:lang w:val="en-GB"/>
      </w:rPr>
      <w:t>-2017</w:t>
    </w:r>
  </w:p>
  <w:p w14:paraId="4CD65DF3" w14:textId="77777777" w:rsidR="00A14FDC" w:rsidRPr="008C7762" w:rsidRDefault="00A14FDC" w:rsidP="00A14FDC">
    <w:pPr>
      <w:tabs>
        <w:tab w:val="left" w:pos="-567"/>
        <w:tab w:val="center" w:pos="5103"/>
        <w:tab w:val="center" w:pos="9866"/>
      </w:tabs>
      <w:ind w:left="-567" w:right="-472"/>
      <w:jc w:val="center"/>
      <w:rPr>
        <w:sz w:val="14"/>
        <w:lang w:val="en-GB"/>
      </w:rPr>
    </w:pP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Free of Charge</w:t>
    </w:r>
    <w:r w:rsidRPr="008C7762">
      <w:rPr>
        <w:sz w:val="14"/>
        <w:lang w:val="en-GB"/>
      </w:rPr>
      <w:t xml:space="preserve"> Samples for unknown applications</w:t>
    </w:r>
  </w:p>
  <w:p w14:paraId="56DF1A01" w14:textId="77777777" w:rsidR="00A14FDC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sz w:val="14"/>
        <w:lang w:val="en-GB"/>
      </w:rPr>
    </w:pP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 Robust &amp; reliable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Bulk availability</w:t>
    </w:r>
  </w:p>
  <w:p w14:paraId="47F57353" w14:textId="37BCB55D" w:rsidR="00A14FDC" w:rsidRPr="008C7762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D010" w14:textId="77777777" w:rsidR="008C7762" w:rsidRDefault="008C7762" w:rsidP="008C7762">
    <w:pPr>
      <w:pStyle w:val="VoettekstTDS"/>
      <w:tabs>
        <w:tab w:val="clear" w:pos="0"/>
        <w:tab w:val="left" w:pos="-567"/>
      </w:tabs>
      <w:ind w:left="-567" w:right="360"/>
    </w:pPr>
  </w:p>
  <w:p w14:paraId="4185C9A8" w14:textId="462BAD37" w:rsidR="00E71195" w:rsidRPr="00A1548B" w:rsidRDefault="00E71195" w:rsidP="008C7762">
    <w:pPr>
      <w:pStyle w:val="VoettekstTDS"/>
      <w:tabs>
        <w:tab w:val="clear" w:pos="0"/>
        <w:tab w:val="clear" w:pos="5103"/>
        <w:tab w:val="left" w:pos="-567"/>
        <w:tab w:val="center" w:pos="5529"/>
      </w:tabs>
      <w:ind w:left="-567" w:right="-472"/>
      <w:jc w:val="center"/>
    </w:pPr>
    <w:r>
      <w:t xml:space="preserve">www.hycultbiotech.com                  </w:t>
    </w:r>
    <w:r w:rsidR="008C7762">
      <w:t xml:space="preserve">          </w:t>
    </w:r>
    <w:r>
      <w:t xml:space="preserve"> </w:t>
    </w:r>
    <w:r w:rsidR="00311C09">
      <w:t xml:space="preserve"> </w:t>
    </w:r>
    <w:r w:rsidRPr="00A1548B">
      <w:t xml:space="preserve">All Hycult Biotech products are subject to strict quality control procedures. </w:t>
    </w:r>
    <w:r w:rsidRPr="00A1548B">
      <w:tab/>
    </w:r>
    <w:r>
      <w:t xml:space="preserve">           </w:t>
    </w:r>
    <w:r w:rsidR="00FB21E7">
      <w:t>support@hycultbiotech.com</w:t>
    </w:r>
  </w:p>
  <w:p w14:paraId="449615B0" w14:textId="77777777" w:rsidR="00E71195" w:rsidRPr="00A1548B" w:rsidRDefault="00E71195" w:rsidP="008C7762">
    <w:pPr>
      <w:pStyle w:val="VoettekstTDS"/>
      <w:tabs>
        <w:tab w:val="clear" w:pos="0"/>
        <w:tab w:val="left" w:pos="-567"/>
      </w:tabs>
      <w:ind w:left="-567" w:right="-472"/>
      <w:jc w:val="center"/>
    </w:pPr>
    <w:r w:rsidRPr="00A1548B">
      <w:t>Copyright® Hycult Biotech. All rights reserved.</w:t>
    </w:r>
  </w:p>
  <w:p w14:paraId="4CCACABE" w14:textId="77777777" w:rsidR="00E71195" w:rsidRDefault="00E71195" w:rsidP="008C7762">
    <w:pPr>
      <w:pStyle w:val="VoettekstTDS"/>
      <w:tabs>
        <w:tab w:val="clear" w:pos="0"/>
        <w:tab w:val="clear" w:pos="9866"/>
        <w:tab w:val="left" w:pos="-567"/>
        <w:tab w:val="center" w:pos="9498"/>
      </w:tabs>
      <w:ind w:left="-567" w:right="-472"/>
      <w:jc w:val="center"/>
    </w:pPr>
    <w:r w:rsidRPr="00A1548B">
      <w:t>The information on this data</w:t>
    </w:r>
    <w:r w:rsidR="00FD28A1">
      <w:t xml:space="preserve"> </w:t>
    </w:r>
    <w:r w:rsidRPr="00A1548B">
      <w:t>sheet should neither be considered comprehensive or definitive.</w:t>
    </w:r>
  </w:p>
  <w:p w14:paraId="1AD0B1A5" w14:textId="77777777" w:rsidR="00E71195" w:rsidRPr="00E71195" w:rsidRDefault="00E71195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B73E" w14:textId="77777777" w:rsidR="003F71D4" w:rsidRDefault="003F71D4" w:rsidP="00E71195">
      <w:r>
        <w:separator/>
      </w:r>
    </w:p>
  </w:footnote>
  <w:footnote w:type="continuationSeparator" w:id="0">
    <w:p w14:paraId="013BBCAF" w14:textId="77777777" w:rsidR="003F71D4" w:rsidRDefault="003F71D4" w:rsidP="00E7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B595" w14:textId="77777777" w:rsidR="00A14FDC" w:rsidRDefault="00A14FDC" w:rsidP="00A14FD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8CAA" w14:textId="77777777" w:rsidR="00E71195" w:rsidRDefault="00E71195" w:rsidP="00A14FDC">
    <w:pPr>
      <w:pStyle w:val="Koptekst"/>
      <w:tabs>
        <w:tab w:val="clear" w:pos="4513"/>
        <w:tab w:val="clear" w:pos="9026"/>
        <w:tab w:val="left" w:pos="7515"/>
      </w:tabs>
      <w:ind w:left="-567"/>
      <w:jc w:val="center"/>
    </w:pPr>
    <w:r w:rsidRPr="00333FC1">
      <w:rPr>
        <w:noProof/>
      </w:rPr>
      <w:drawing>
        <wp:anchor distT="0" distB="0" distL="114300" distR="114300" simplePos="0" relativeHeight="251661312" behindDoc="1" locked="1" layoutInCell="1" allowOverlap="0" wp14:anchorId="49E2F333" wp14:editId="2298B542">
          <wp:simplePos x="0" y="0"/>
          <wp:positionH relativeFrom="margin">
            <wp:posOffset>-336550</wp:posOffset>
          </wp:positionH>
          <wp:positionV relativeFrom="topMargin">
            <wp:posOffset>132715</wp:posOffset>
          </wp:positionV>
          <wp:extent cx="1911350" cy="611505"/>
          <wp:effectExtent l="0" t="0" r="0" b="0"/>
          <wp:wrapNone/>
          <wp:docPr id="16" name="Afbeelding 16" descr="G:\Algemene map\Huisstijl\Nieuwe huisstijl\Logo's Hycult\Logo\JPG\L_HYC_bree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ne map\Huisstijl\Nieuwe huisstijl\Logo's Hycult\Logo\JPG\L_HYC_breed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B2B"/>
    <w:multiLevelType w:val="multilevel"/>
    <w:tmpl w:val="854063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025CA"/>
    <w:multiLevelType w:val="multilevel"/>
    <w:tmpl w:val="C46869A6"/>
    <w:styleLink w:val="Referencesnummering"/>
    <w:lvl w:ilvl="0">
      <w:start w:val="1"/>
      <w:numFmt w:val="decimal"/>
      <w:pStyle w:val="Referenties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4DB289F"/>
    <w:multiLevelType w:val="hybridMultilevel"/>
    <w:tmpl w:val="27182F86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0479D"/>
    <w:multiLevelType w:val="hybridMultilevel"/>
    <w:tmpl w:val="43C6623E"/>
    <w:lvl w:ilvl="0" w:tplc="2C76FE1C">
      <w:start w:val="10"/>
      <w:numFmt w:val="bullet"/>
      <w:lvlText w:val=""/>
      <w:lvlJc w:val="left"/>
      <w:pPr>
        <w:ind w:left="-16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4" w15:restartNumberingAfterBreak="0">
    <w:nsid w:val="52EC7F68"/>
    <w:multiLevelType w:val="hybridMultilevel"/>
    <w:tmpl w:val="197296BE"/>
    <w:lvl w:ilvl="0" w:tplc="F0CE8D1C">
      <w:start w:val="1"/>
      <w:numFmt w:val="bullet"/>
      <w:lvlText w:val="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A67D8B"/>
    <w:multiLevelType w:val="hybridMultilevel"/>
    <w:tmpl w:val="2C22927C"/>
    <w:lvl w:ilvl="0" w:tplc="F0CE8D1C">
      <w:start w:val="1"/>
      <w:numFmt w:val="bullet"/>
      <w:lvlText w:val="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3857">
    <w:abstractNumId w:val="1"/>
  </w:num>
  <w:num w:numId="2" w16cid:durableId="556204880">
    <w:abstractNumId w:val="0"/>
  </w:num>
  <w:num w:numId="3" w16cid:durableId="1757706718">
    <w:abstractNumId w:val="5"/>
  </w:num>
  <w:num w:numId="4" w16cid:durableId="676268874">
    <w:abstractNumId w:val="4"/>
  </w:num>
  <w:num w:numId="5" w16cid:durableId="67266687">
    <w:abstractNumId w:val="2"/>
  </w:num>
  <w:num w:numId="6" w16cid:durableId="59987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7dppoI3Huw5uYkmx3CvtqsX0CKdFo156cvoE8GuyoesXy4d6d0VTSYf+7IZumMHAwPz88mMtT+vlTzCLkHQWtQ==" w:salt="+eLWUFu3SKL62lYcM4VbRw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5"/>
    <w:rsid w:val="00005E02"/>
    <w:rsid w:val="000075A7"/>
    <w:rsid w:val="00007E97"/>
    <w:rsid w:val="000150F6"/>
    <w:rsid w:val="00015350"/>
    <w:rsid w:val="00020D02"/>
    <w:rsid w:val="00040CCB"/>
    <w:rsid w:val="00065FF0"/>
    <w:rsid w:val="00066653"/>
    <w:rsid w:val="000A66B6"/>
    <w:rsid w:val="000C028A"/>
    <w:rsid w:val="000C1BD1"/>
    <w:rsid w:val="000C5BE5"/>
    <w:rsid w:val="000D0B6F"/>
    <w:rsid w:val="000D2666"/>
    <w:rsid w:val="000E6783"/>
    <w:rsid w:val="000E7C9C"/>
    <w:rsid w:val="00105FD0"/>
    <w:rsid w:val="001112C3"/>
    <w:rsid w:val="00111897"/>
    <w:rsid w:val="00112896"/>
    <w:rsid w:val="00120EB8"/>
    <w:rsid w:val="00127269"/>
    <w:rsid w:val="00131AD2"/>
    <w:rsid w:val="0013376E"/>
    <w:rsid w:val="00140EF6"/>
    <w:rsid w:val="00143D74"/>
    <w:rsid w:val="00146C9A"/>
    <w:rsid w:val="00161417"/>
    <w:rsid w:val="00177085"/>
    <w:rsid w:val="00182C93"/>
    <w:rsid w:val="00183EF8"/>
    <w:rsid w:val="001873F0"/>
    <w:rsid w:val="001916F1"/>
    <w:rsid w:val="0019364D"/>
    <w:rsid w:val="00194990"/>
    <w:rsid w:val="001A418A"/>
    <w:rsid w:val="001B03F9"/>
    <w:rsid w:val="001B2CAC"/>
    <w:rsid w:val="001B3F6B"/>
    <w:rsid w:val="001D3C24"/>
    <w:rsid w:val="001D3E46"/>
    <w:rsid w:val="001F1FFA"/>
    <w:rsid w:val="001F4C33"/>
    <w:rsid w:val="001F6946"/>
    <w:rsid w:val="00202070"/>
    <w:rsid w:val="00213980"/>
    <w:rsid w:val="002157A7"/>
    <w:rsid w:val="002269C5"/>
    <w:rsid w:val="00234890"/>
    <w:rsid w:val="0024365C"/>
    <w:rsid w:val="0027523B"/>
    <w:rsid w:val="00281C5F"/>
    <w:rsid w:val="002904EF"/>
    <w:rsid w:val="002918DB"/>
    <w:rsid w:val="002B12CE"/>
    <w:rsid w:val="002B5214"/>
    <w:rsid w:val="002B5D24"/>
    <w:rsid w:val="002C4A6F"/>
    <w:rsid w:val="002C4DFF"/>
    <w:rsid w:val="002C6420"/>
    <w:rsid w:val="002D5785"/>
    <w:rsid w:val="002E180B"/>
    <w:rsid w:val="002E6B7C"/>
    <w:rsid w:val="002F0167"/>
    <w:rsid w:val="002F07AE"/>
    <w:rsid w:val="002F1370"/>
    <w:rsid w:val="002F459A"/>
    <w:rsid w:val="0030710B"/>
    <w:rsid w:val="00307712"/>
    <w:rsid w:val="00311C09"/>
    <w:rsid w:val="00320AAF"/>
    <w:rsid w:val="003266A1"/>
    <w:rsid w:val="00330952"/>
    <w:rsid w:val="0033442F"/>
    <w:rsid w:val="003357BA"/>
    <w:rsid w:val="00335C72"/>
    <w:rsid w:val="0035156B"/>
    <w:rsid w:val="00373218"/>
    <w:rsid w:val="00375BC0"/>
    <w:rsid w:val="00377452"/>
    <w:rsid w:val="0038045C"/>
    <w:rsid w:val="00385DD2"/>
    <w:rsid w:val="0038796B"/>
    <w:rsid w:val="00394B4B"/>
    <w:rsid w:val="003B58AE"/>
    <w:rsid w:val="003C1138"/>
    <w:rsid w:val="003C6C23"/>
    <w:rsid w:val="003D5D3B"/>
    <w:rsid w:val="003F3A95"/>
    <w:rsid w:val="003F40D4"/>
    <w:rsid w:val="003F71D4"/>
    <w:rsid w:val="003F7557"/>
    <w:rsid w:val="00410A56"/>
    <w:rsid w:val="00412244"/>
    <w:rsid w:val="00413D40"/>
    <w:rsid w:val="0042353F"/>
    <w:rsid w:val="00423F0E"/>
    <w:rsid w:val="00427372"/>
    <w:rsid w:val="0043283D"/>
    <w:rsid w:val="00434D97"/>
    <w:rsid w:val="00442720"/>
    <w:rsid w:val="00443666"/>
    <w:rsid w:val="0045374B"/>
    <w:rsid w:val="00454A5F"/>
    <w:rsid w:val="004623CB"/>
    <w:rsid w:val="00475DCA"/>
    <w:rsid w:val="00476007"/>
    <w:rsid w:val="004842F0"/>
    <w:rsid w:val="00486B1C"/>
    <w:rsid w:val="004A4C89"/>
    <w:rsid w:val="004A6BF2"/>
    <w:rsid w:val="004A79CB"/>
    <w:rsid w:val="004C2EE6"/>
    <w:rsid w:val="004D1896"/>
    <w:rsid w:val="004D6405"/>
    <w:rsid w:val="00500C51"/>
    <w:rsid w:val="00507A65"/>
    <w:rsid w:val="00510675"/>
    <w:rsid w:val="00522630"/>
    <w:rsid w:val="00523723"/>
    <w:rsid w:val="00527E50"/>
    <w:rsid w:val="00536BCC"/>
    <w:rsid w:val="005474EC"/>
    <w:rsid w:val="00550EC1"/>
    <w:rsid w:val="00560F8F"/>
    <w:rsid w:val="00576BAB"/>
    <w:rsid w:val="00580C4B"/>
    <w:rsid w:val="005A2456"/>
    <w:rsid w:val="005A7270"/>
    <w:rsid w:val="005B398D"/>
    <w:rsid w:val="005B5447"/>
    <w:rsid w:val="005D5715"/>
    <w:rsid w:val="005D754E"/>
    <w:rsid w:val="005E1B74"/>
    <w:rsid w:val="005F2C23"/>
    <w:rsid w:val="006000CC"/>
    <w:rsid w:val="006213C0"/>
    <w:rsid w:val="00627F54"/>
    <w:rsid w:val="0063053C"/>
    <w:rsid w:val="00644039"/>
    <w:rsid w:val="0064569A"/>
    <w:rsid w:val="00662DD9"/>
    <w:rsid w:val="00665D3D"/>
    <w:rsid w:val="006758D9"/>
    <w:rsid w:val="0069274B"/>
    <w:rsid w:val="006A0051"/>
    <w:rsid w:val="006A6ADA"/>
    <w:rsid w:val="006B0AEB"/>
    <w:rsid w:val="006C4E8C"/>
    <w:rsid w:val="006E6F33"/>
    <w:rsid w:val="007011DF"/>
    <w:rsid w:val="00707BCB"/>
    <w:rsid w:val="00710A47"/>
    <w:rsid w:val="0071107B"/>
    <w:rsid w:val="00714C1E"/>
    <w:rsid w:val="0071605D"/>
    <w:rsid w:val="00722AAD"/>
    <w:rsid w:val="007245E7"/>
    <w:rsid w:val="007262A2"/>
    <w:rsid w:val="00726ED6"/>
    <w:rsid w:val="00736A80"/>
    <w:rsid w:val="00737E18"/>
    <w:rsid w:val="0074014D"/>
    <w:rsid w:val="007441FD"/>
    <w:rsid w:val="00746ED5"/>
    <w:rsid w:val="00750D27"/>
    <w:rsid w:val="00753438"/>
    <w:rsid w:val="00755C72"/>
    <w:rsid w:val="00773802"/>
    <w:rsid w:val="00774D91"/>
    <w:rsid w:val="007830F9"/>
    <w:rsid w:val="007C59DA"/>
    <w:rsid w:val="007C70F6"/>
    <w:rsid w:val="007C7247"/>
    <w:rsid w:val="007D07E9"/>
    <w:rsid w:val="008275AB"/>
    <w:rsid w:val="00827683"/>
    <w:rsid w:val="00831FD7"/>
    <w:rsid w:val="00832916"/>
    <w:rsid w:val="00832AB6"/>
    <w:rsid w:val="00840F67"/>
    <w:rsid w:val="00841D5B"/>
    <w:rsid w:val="00855B62"/>
    <w:rsid w:val="00855B77"/>
    <w:rsid w:val="00867A75"/>
    <w:rsid w:val="00882080"/>
    <w:rsid w:val="00887268"/>
    <w:rsid w:val="00892D65"/>
    <w:rsid w:val="00897278"/>
    <w:rsid w:val="008A4F72"/>
    <w:rsid w:val="008B051B"/>
    <w:rsid w:val="008B0EA0"/>
    <w:rsid w:val="008B157F"/>
    <w:rsid w:val="008C2BE7"/>
    <w:rsid w:val="008C444A"/>
    <w:rsid w:val="008C7762"/>
    <w:rsid w:val="008E055C"/>
    <w:rsid w:val="008E49F8"/>
    <w:rsid w:val="008F5E2D"/>
    <w:rsid w:val="008F65E1"/>
    <w:rsid w:val="009075B8"/>
    <w:rsid w:val="009119CB"/>
    <w:rsid w:val="0093535F"/>
    <w:rsid w:val="009403AD"/>
    <w:rsid w:val="009449E7"/>
    <w:rsid w:val="009665A3"/>
    <w:rsid w:val="009677A7"/>
    <w:rsid w:val="00970FB5"/>
    <w:rsid w:val="00975BF4"/>
    <w:rsid w:val="009821E7"/>
    <w:rsid w:val="009871B8"/>
    <w:rsid w:val="0099057F"/>
    <w:rsid w:val="00997CC5"/>
    <w:rsid w:val="009A01A1"/>
    <w:rsid w:val="009A04D3"/>
    <w:rsid w:val="009A0FDD"/>
    <w:rsid w:val="009A3EFF"/>
    <w:rsid w:val="009B23CE"/>
    <w:rsid w:val="009B3458"/>
    <w:rsid w:val="009B5E67"/>
    <w:rsid w:val="009C2203"/>
    <w:rsid w:val="009C640F"/>
    <w:rsid w:val="009D61E3"/>
    <w:rsid w:val="009E4FF6"/>
    <w:rsid w:val="009F128A"/>
    <w:rsid w:val="009F18EF"/>
    <w:rsid w:val="009F6274"/>
    <w:rsid w:val="00A14B85"/>
    <w:rsid w:val="00A14FDC"/>
    <w:rsid w:val="00A224FA"/>
    <w:rsid w:val="00A22F30"/>
    <w:rsid w:val="00A3041E"/>
    <w:rsid w:val="00A66D20"/>
    <w:rsid w:val="00A73B38"/>
    <w:rsid w:val="00A765AF"/>
    <w:rsid w:val="00A8447F"/>
    <w:rsid w:val="00A86185"/>
    <w:rsid w:val="00AA73DC"/>
    <w:rsid w:val="00AB78DB"/>
    <w:rsid w:val="00AC4DE7"/>
    <w:rsid w:val="00AD0016"/>
    <w:rsid w:val="00AD4489"/>
    <w:rsid w:val="00AE1965"/>
    <w:rsid w:val="00AE19C2"/>
    <w:rsid w:val="00AE6308"/>
    <w:rsid w:val="00AE7309"/>
    <w:rsid w:val="00AF229D"/>
    <w:rsid w:val="00AF657F"/>
    <w:rsid w:val="00B00B0A"/>
    <w:rsid w:val="00B020CF"/>
    <w:rsid w:val="00B158CA"/>
    <w:rsid w:val="00B1795F"/>
    <w:rsid w:val="00B260EF"/>
    <w:rsid w:val="00B32788"/>
    <w:rsid w:val="00B335B9"/>
    <w:rsid w:val="00B364BB"/>
    <w:rsid w:val="00B46E3D"/>
    <w:rsid w:val="00B80669"/>
    <w:rsid w:val="00B846A5"/>
    <w:rsid w:val="00B865E2"/>
    <w:rsid w:val="00B95E36"/>
    <w:rsid w:val="00B96F5F"/>
    <w:rsid w:val="00BA585B"/>
    <w:rsid w:val="00BA5922"/>
    <w:rsid w:val="00BC1D8E"/>
    <w:rsid w:val="00BD0EF2"/>
    <w:rsid w:val="00BD3CBE"/>
    <w:rsid w:val="00BF2DFF"/>
    <w:rsid w:val="00BF5535"/>
    <w:rsid w:val="00BF759B"/>
    <w:rsid w:val="00C03CE1"/>
    <w:rsid w:val="00C0504C"/>
    <w:rsid w:val="00C20854"/>
    <w:rsid w:val="00C2491C"/>
    <w:rsid w:val="00C32054"/>
    <w:rsid w:val="00C345F7"/>
    <w:rsid w:val="00C35F3C"/>
    <w:rsid w:val="00C40C4B"/>
    <w:rsid w:val="00C46F2E"/>
    <w:rsid w:val="00C54A17"/>
    <w:rsid w:val="00C65C93"/>
    <w:rsid w:val="00C678C5"/>
    <w:rsid w:val="00C75B7B"/>
    <w:rsid w:val="00C80960"/>
    <w:rsid w:val="00C877F1"/>
    <w:rsid w:val="00C960DB"/>
    <w:rsid w:val="00CA4814"/>
    <w:rsid w:val="00CA6327"/>
    <w:rsid w:val="00CB0D5A"/>
    <w:rsid w:val="00CB7B7F"/>
    <w:rsid w:val="00CD744B"/>
    <w:rsid w:val="00CE6C4D"/>
    <w:rsid w:val="00CE72A5"/>
    <w:rsid w:val="00CE7E5E"/>
    <w:rsid w:val="00CF00FE"/>
    <w:rsid w:val="00D21D06"/>
    <w:rsid w:val="00D33010"/>
    <w:rsid w:val="00D416D3"/>
    <w:rsid w:val="00D666DE"/>
    <w:rsid w:val="00D67F66"/>
    <w:rsid w:val="00D715EB"/>
    <w:rsid w:val="00D7791F"/>
    <w:rsid w:val="00D77D53"/>
    <w:rsid w:val="00D81994"/>
    <w:rsid w:val="00D94BAB"/>
    <w:rsid w:val="00D97A03"/>
    <w:rsid w:val="00DA30B8"/>
    <w:rsid w:val="00DC520A"/>
    <w:rsid w:val="00DC6507"/>
    <w:rsid w:val="00DF135F"/>
    <w:rsid w:val="00E11B41"/>
    <w:rsid w:val="00E13B5D"/>
    <w:rsid w:val="00E15EC1"/>
    <w:rsid w:val="00E22ED6"/>
    <w:rsid w:val="00E24845"/>
    <w:rsid w:val="00E33A47"/>
    <w:rsid w:val="00E40985"/>
    <w:rsid w:val="00E50BB2"/>
    <w:rsid w:val="00E543D4"/>
    <w:rsid w:val="00E71195"/>
    <w:rsid w:val="00E74495"/>
    <w:rsid w:val="00E83962"/>
    <w:rsid w:val="00E84320"/>
    <w:rsid w:val="00E85F8C"/>
    <w:rsid w:val="00E94617"/>
    <w:rsid w:val="00EA187F"/>
    <w:rsid w:val="00EA4C6F"/>
    <w:rsid w:val="00EC6619"/>
    <w:rsid w:val="00EE6F81"/>
    <w:rsid w:val="00F05B24"/>
    <w:rsid w:val="00F25AD5"/>
    <w:rsid w:val="00F36087"/>
    <w:rsid w:val="00F37A13"/>
    <w:rsid w:val="00F471E0"/>
    <w:rsid w:val="00F4729F"/>
    <w:rsid w:val="00F5291D"/>
    <w:rsid w:val="00F54531"/>
    <w:rsid w:val="00F62B4C"/>
    <w:rsid w:val="00F74B20"/>
    <w:rsid w:val="00F819D8"/>
    <w:rsid w:val="00F86C53"/>
    <w:rsid w:val="00F97011"/>
    <w:rsid w:val="00FA172A"/>
    <w:rsid w:val="00FA6315"/>
    <w:rsid w:val="00FB21E7"/>
    <w:rsid w:val="00FD2088"/>
    <w:rsid w:val="00FD28A1"/>
    <w:rsid w:val="00FD3706"/>
    <w:rsid w:val="00FD7D8D"/>
    <w:rsid w:val="00FE14F1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9633"/>
    <o:shapelayout v:ext="edit">
      <o:idmap v:ext="edit" data="1"/>
    </o:shapelayout>
  </w:shapeDefaults>
  <w:decimalSymbol w:val="."/>
  <w:listSeparator w:val=";"/>
  <w14:docId w14:val="7021621A"/>
  <w15:chartTrackingRefBased/>
  <w15:docId w15:val="{F0F8E844-8295-49A7-9796-B8A295B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7762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C03CE1"/>
    <w:pPr>
      <w:keepNext/>
      <w:numPr>
        <w:ilvl w:val="2"/>
        <w:numId w:val="2"/>
      </w:numPr>
      <w:pBdr>
        <w:bottom w:val="single" w:sz="4" w:space="1" w:color="auto"/>
      </w:pBdr>
      <w:spacing w:before="240" w:after="60" w:line="288" w:lineRule="auto"/>
      <w:outlineLvl w:val="2"/>
    </w:pPr>
    <w:rPr>
      <w:rFonts w:cs="Arial"/>
      <w:bCs/>
      <w:caps/>
      <w:color w:val="036CFE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119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119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E7119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1195"/>
    <w:rPr>
      <w:lang w:val="en-US"/>
    </w:rPr>
  </w:style>
  <w:style w:type="paragraph" w:customStyle="1" w:styleId="VoettekstTDS">
    <w:name w:val="Voettekst TDS"/>
    <w:basedOn w:val="Standaard"/>
    <w:next w:val="Standaard"/>
    <w:rsid w:val="00E71195"/>
    <w:pPr>
      <w:tabs>
        <w:tab w:val="left" w:pos="0"/>
        <w:tab w:val="center" w:pos="5103"/>
        <w:tab w:val="center" w:pos="9866"/>
      </w:tabs>
    </w:pPr>
    <w:rPr>
      <w:sz w:val="14"/>
      <w:lang w:val="en-GB"/>
    </w:rPr>
  </w:style>
  <w:style w:type="character" w:styleId="Hyperlink">
    <w:name w:val="Hyperlink"/>
    <w:basedOn w:val="Standaardalinea-lettertype"/>
    <w:uiPriority w:val="99"/>
    <w:unhideWhenUsed/>
    <w:rsid w:val="00E7119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7A03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A03"/>
    <w:rPr>
      <w:rFonts w:ascii="Segoe UI" w:hAnsi="Segoe UI" w:cs="Segoe UI"/>
      <w:sz w:val="18"/>
      <w:szCs w:val="18"/>
      <w:lang w:val="en-US"/>
    </w:rPr>
  </w:style>
  <w:style w:type="paragraph" w:customStyle="1" w:styleId="TitelTDS">
    <w:name w:val="Titel TDS"/>
    <w:basedOn w:val="Standaard"/>
    <w:next w:val="Standaard"/>
    <w:rsid w:val="00AE7309"/>
    <w:pPr>
      <w:jc w:val="left"/>
    </w:pPr>
    <w:rPr>
      <w:b/>
      <w:caps/>
      <w:sz w:val="24"/>
      <w:lang w:val="en-GB"/>
    </w:rPr>
  </w:style>
  <w:style w:type="paragraph" w:customStyle="1" w:styleId="Uitlegapplications">
    <w:name w:val="Uitleg applications"/>
    <w:basedOn w:val="Standaard"/>
    <w:next w:val="Standaard"/>
    <w:rsid w:val="00AE7309"/>
    <w:rPr>
      <w:sz w:val="14"/>
    </w:rPr>
  </w:style>
  <w:style w:type="character" w:customStyle="1" w:styleId="Tekengrijs-Optie">
    <w:name w:val="Teken grijs - Optie"/>
    <w:basedOn w:val="Standaardalinea-lettertype"/>
    <w:rsid w:val="00AE7309"/>
    <w:rPr>
      <w:rFonts w:ascii="Arial" w:hAnsi="Arial"/>
      <w:color w:val="C0C0C0"/>
      <w:sz w:val="18"/>
    </w:rPr>
  </w:style>
  <w:style w:type="character" w:customStyle="1" w:styleId="Tekenvet">
    <w:name w:val="Teken vet"/>
    <w:basedOn w:val="Standaardalinea-lettertype"/>
    <w:rsid w:val="00AE7309"/>
    <w:rPr>
      <w:rFonts w:ascii="Arial" w:hAnsi="Arial"/>
      <w:b/>
      <w:sz w:val="18"/>
    </w:rPr>
  </w:style>
  <w:style w:type="paragraph" w:customStyle="1" w:styleId="Koppenvet">
    <w:name w:val="Koppen vet"/>
    <w:basedOn w:val="Standaard"/>
    <w:next w:val="Standaard"/>
    <w:rsid w:val="00AE7309"/>
    <w:pPr>
      <w:jc w:val="left"/>
    </w:pPr>
    <w:rPr>
      <w:b/>
    </w:rPr>
  </w:style>
  <w:style w:type="character" w:customStyle="1" w:styleId="Tekencursief7pt">
    <w:name w:val="Teken cursief 7pt"/>
    <w:basedOn w:val="Standaardalinea-lettertype"/>
    <w:rsid w:val="00AE7309"/>
    <w:rPr>
      <w:rFonts w:ascii="Arial" w:hAnsi="Arial"/>
      <w:i/>
      <w:sz w:val="14"/>
      <w:lang w:val="en-GB"/>
    </w:rPr>
  </w:style>
  <w:style w:type="character" w:customStyle="1" w:styleId="subscribt">
    <w:name w:val="subscribt"/>
    <w:basedOn w:val="Standaardalinea-lettertype"/>
    <w:rsid w:val="00AE7309"/>
    <w:rPr>
      <w:rFonts w:ascii="Arial" w:hAnsi="Arial"/>
      <w:sz w:val="18"/>
      <w:vertAlign w:val="subscript"/>
    </w:rPr>
  </w:style>
  <w:style w:type="numbering" w:customStyle="1" w:styleId="Referencesnummering">
    <w:name w:val="References nummering"/>
    <w:basedOn w:val="Geenlijst"/>
    <w:rsid w:val="00AE7309"/>
    <w:pPr>
      <w:numPr>
        <w:numId w:val="1"/>
      </w:numPr>
    </w:pPr>
  </w:style>
  <w:style w:type="character" w:customStyle="1" w:styleId="Tekensuperscript">
    <w:name w:val="Teken superscript"/>
    <w:basedOn w:val="Standaardalinea-lettertype"/>
    <w:rsid w:val="00AE7309"/>
    <w:rPr>
      <w:rFonts w:ascii="Arial" w:hAnsi="Arial"/>
      <w:sz w:val="20"/>
      <w:vertAlign w:val="superscript"/>
    </w:rPr>
  </w:style>
  <w:style w:type="paragraph" w:customStyle="1" w:styleId="Referenties">
    <w:name w:val="Referenties"/>
    <w:basedOn w:val="Standaard"/>
    <w:qFormat/>
    <w:rsid w:val="00AE7309"/>
    <w:pPr>
      <w:numPr>
        <w:numId w:val="1"/>
      </w:numPr>
    </w:pPr>
  </w:style>
  <w:style w:type="paragraph" w:customStyle="1" w:styleId="applicationtable">
    <w:name w:val="application table"/>
    <w:basedOn w:val="Standaard"/>
    <w:qFormat/>
    <w:rsid w:val="00AE7309"/>
    <w:pPr>
      <w:framePr w:wrap="around" w:vAnchor="text" w:hAnchor="text" w:y="1"/>
      <w:jc w:val="center"/>
    </w:pPr>
    <w:rPr>
      <w:szCs w:val="20"/>
    </w:rPr>
  </w:style>
  <w:style w:type="paragraph" w:customStyle="1" w:styleId="Tekstintabel">
    <w:name w:val="Tekst in tabel"/>
    <w:basedOn w:val="Standaard"/>
    <w:link w:val="TekstintabelChar"/>
    <w:rsid w:val="009B5E67"/>
    <w:rPr>
      <w:lang w:val="en-US"/>
    </w:rPr>
  </w:style>
  <w:style w:type="character" w:customStyle="1" w:styleId="TekstintabelChar">
    <w:name w:val="Tekst in tabel Char"/>
    <w:basedOn w:val="Standaardalinea-lettertype"/>
    <w:link w:val="Tekstintabel"/>
    <w:rsid w:val="009B5E67"/>
    <w:rPr>
      <w:rFonts w:ascii="Arial" w:eastAsia="Times New Roman" w:hAnsi="Arial" w:cs="Times New Roman"/>
      <w:sz w:val="18"/>
      <w:szCs w:val="24"/>
      <w:lang w:val="en-US" w:eastAsia="nl-NL"/>
    </w:rPr>
  </w:style>
  <w:style w:type="character" w:customStyle="1" w:styleId="glv1">
    <w:name w:val="glv1"/>
    <w:basedOn w:val="Standaardalinea-lettertype"/>
    <w:rsid w:val="00C03CE1"/>
    <w:rPr>
      <w:sz w:val="22"/>
      <w:szCs w:val="22"/>
    </w:rPr>
  </w:style>
  <w:style w:type="character" w:customStyle="1" w:styleId="Kop3Char">
    <w:name w:val="Kop 3 Char"/>
    <w:basedOn w:val="Standaardalinea-lettertype"/>
    <w:link w:val="Kop3"/>
    <w:rsid w:val="00C03CE1"/>
    <w:rPr>
      <w:rFonts w:ascii="Arial" w:eastAsia="Times New Roman" w:hAnsi="Arial" w:cs="Arial"/>
      <w:bCs/>
      <w:caps/>
      <w:color w:val="036CFE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30710B"/>
    <w:pPr>
      <w:ind w:left="720"/>
      <w:contextualSpacing/>
    </w:pPr>
  </w:style>
  <w:style w:type="table" w:styleId="Tabelraster">
    <w:name w:val="Table Grid"/>
    <w:basedOn w:val="Standaardtabel"/>
    <w:uiPriority w:val="39"/>
    <w:rsid w:val="0043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F45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459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459A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45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459A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hycultbiotech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A615-DABD-4148-B998-485FF489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Snippe</dc:creator>
  <cp:keywords/>
  <dc:description/>
  <cp:lastModifiedBy>Marly van Geffen</cp:lastModifiedBy>
  <cp:revision>2</cp:revision>
  <cp:lastPrinted>2017-11-02T14:03:00Z</cp:lastPrinted>
  <dcterms:created xsi:type="dcterms:W3CDTF">2025-12-22T13:06:00Z</dcterms:created>
  <dcterms:modified xsi:type="dcterms:W3CDTF">2025-12-22T13:06:00Z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{7f87609a-c5c5-47de-9fe9-920588a06b7a}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MAC, Human, mAb B7, 100 µg</vt:lpwstr>
  </property>
  <property fmtid="{D5CDD505-2E9C-101B-9397-08002B2CF9AE}" pid="11" name="eSynDocResourceDesc">
    <vt:lpwstr>Marly van Geffen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12/18/2025 00:00:00</vt:lpwstr>
  </property>
  <property fmtid="{D5CDD505-2E9C-101B-9397-08002B2CF9AE}" pid="14" name="eSynDocVersion">
    <vt:lpwstr>3</vt:lpwstr>
  </property>
  <property fmtid="{D5CDD505-2E9C-101B-9397-08002B2CF9AE}" pid="15" name="eSynDocAttachFileName">
    <vt:lpwstr>Template CoA-TDS HM2443-100UG.docx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292</vt:lpwstr>
  </property>
  <property fmtid="{D5CDD505-2E9C-101B-9397-08002B2CF9AE}" pid="19" name="eSynDocSerialNumber">
    <vt:lpwstr>
    </vt:lpwstr>
  </property>
  <property fmtid="{D5CDD505-2E9C-101B-9397-08002B2CF9AE}" pid="20" name="eSynDocSubject">
    <vt:lpwstr>Template CoA-TDS HM2443-100UG</vt:lpwstr>
  </property>
  <property fmtid="{D5CDD505-2E9C-101B-9397-08002B2CF9AE}" pid="21" name="eSynDocItem">
    <vt:lpwstr>HM2443-100UG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100</vt:lpwstr>
  </property>
  <property fmtid="{D5CDD505-2E9C-101B-9397-08002B2CF9AE}" pid="26" name="eSynDocProjectNr">
    <vt:lpwstr>
    </vt:lpwstr>
  </property>
  <property fmtid="{D5CDD505-2E9C-101B-9397-08002B2CF9AE}" pid="27" name="eSynDocSecurity">
    <vt:lpwstr>10</vt:lpwstr>
  </property>
  <property fmtid="{D5CDD505-2E9C-101B-9397-08002B2CF9AE}" pid="28" name="eSynDocAssortment">
    <vt:lpwstr>510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Attachments &amp; notes</vt:lpwstr>
  </property>
  <property fmtid="{D5CDD505-2E9C-101B-9397-08002B2CF9AE}" pid="36" name="eSynDocGroupID">
    <vt:lpwstr>0</vt:lpwstr>
  </property>
  <property fmtid="{D5CDD505-2E9C-101B-9397-08002B2CF9AE}" pid="37" name="eSynDocHID">
    <vt:lpwstr>352493</vt:lpwstr>
  </property>
  <property fmtid="{D5CDD505-2E9C-101B-9397-08002B2CF9AE}" pid="38" name="eSynCleanUp09/08/2020 16:03:21">
    <vt:i4>1</vt:i4>
  </property>
  <property fmtid="{D5CDD505-2E9C-101B-9397-08002B2CF9AE}" pid="39" name="eSynCleanUp01/27/2023 08:23:48">
    <vt:i4>1</vt:i4>
  </property>
  <property fmtid="{D5CDD505-2E9C-101B-9397-08002B2CF9AE}" pid="40" name="eSynCleanUp03/18/2025 13:32:49">
    <vt:i4>1</vt:i4>
  </property>
  <property fmtid="{D5CDD505-2E9C-101B-9397-08002B2CF9AE}" pid="41" name="eSynCleanUp05/21/2025 15:19:42">
    <vt:i4>1</vt:i4>
  </property>
  <property fmtid="{D5CDD505-2E9C-101B-9397-08002B2CF9AE}" pid="42" name="eSynCleanUp06/26/2025 13:47:33">
    <vt:i4>1</vt:i4>
  </property>
  <property fmtid="{D5CDD505-2E9C-101B-9397-08002B2CF9AE}" pid="43" name="eSynCleanUp06/30/2025 08:08:12">
    <vt:i4>1</vt:i4>
  </property>
  <property fmtid="{D5CDD505-2E9C-101B-9397-08002B2CF9AE}" pid="44" name="eSynCleanUp12/18/2025 08:08:47">
    <vt:i4>1</vt:i4>
  </property>
  <property fmtid="{D5CDD505-2E9C-101B-9397-08002B2CF9AE}" pid="45" name="eSynCleanUp12/22/2025 14:05:45">
    <vt:i4>1</vt:i4>
  </property>
</Properties>
</file>